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4CB" w:rsidRPr="008264CB" w:rsidRDefault="008264CB" w:rsidP="00DF3DE3">
      <w:pPr>
        <w:keepNext/>
        <w:widowControl w:val="0"/>
        <w:autoSpaceDE w:val="0"/>
        <w:autoSpaceDN w:val="0"/>
        <w:adjustRightInd w:val="0"/>
        <w:spacing w:before="240" w:after="60" w:line="240" w:lineRule="auto"/>
        <w:outlineLvl w:val="0"/>
        <w:rPr>
          <w:rFonts w:ascii="Arial" w:eastAsia="Times New Roman" w:hAnsi="Arial" w:cs="Arial"/>
          <w:b/>
          <w:bCs/>
          <w:kern w:val="32"/>
          <w:sz w:val="32"/>
          <w:szCs w:val="32"/>
        </w:rPr>
      </w:pPr>
      <w:bookmarkStart w:id="0" w:name="_Toc354137409"/>
      <w:r w:rsidRPr="008264CB">
        <w:rPr>
          <w:rFonts w:ascii="Arial" w:eastAsia="Times New Roman" w:hAnsi="Arial" w:cs="Arial"/>
          <w:b/>
          <w:bCs/>
          <w:kern w:val="32"/>
          <w:sz w:val="32"/>
          <w:szCs w:val="32"/>
        </w:rPr>
        <w:t xml:space="preserve">Chapter VI </w:t>
      </w:r>
      <w:r w:rsidR="0015089F" w:rsidRPr="00DF3DE3">
        <w:rPr>
          <w:rFonts w:ascii="Arial" w:eastAsia="Times New Roman" w:hAnsi="Arial" w:cs="Arial"/>
          <w:b/>
          <w:bCs/>
          <w:kern w:val="32"/>
          <w:sz w:val="32"/>
          <w:szCs w:val="32"/>
        </w:rPr>
        <w:t xml:space="preserve">Performance Measures and </w:t>
      </w:r>
      <w:r w:rsidRPr="008264CB">
        <w:rPr>
          <w:rFonts w:ascii="Arial" w:eastAsia="Times New Roman" w:hAnsi="Arial" w:cs="Arial"/>
          <w:b/>
          <w:bCs/>
          <w:kern w:val="32"/>
          <w:sz w:val="32"/>
          <w:szCs w:val="32"/>
        </w:rPr>
        <w:t>Project Selection</w:t>
      </w:r>
      <w:bookmarkEnd w:id="0"/>
    </w:p>
    <w:p w:rsidR="008264CB" w:rsidRPr="008264CB" w:rsidRDefault="008264CB" w:rsidP="00DF3DE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eastAsia="Times New Roman" w:hAnsi="Arial" w:cs="Arial"/>
          <w:b/>
          <w:bCs/>
          <w:sz w:val="24"/>
          <w:szCs w:val="24"/>
        </w:rPr>
      </w:pPr>
    </w:p>
    <w:p w:rsidR="0015089F" w:rsidRPr="006427FA" w:rsidRDefault="0015089F" w:rsidP="00DF3DE3">
      <w:pPr>
        <w:widowControl w:val="0"/>
        <w:autoSpaceDE w:val="0"/>
        <w:autoSpaceDN w:val="0"/>
        <w:adjustRightInd w:val="0"/>
        <w:spacing w:after="0" w:line="240" w:lineRule="auto"/>
        <w:rPr>
          <w:rFonts w:ascii="Arial" w:eastAsia="Times New Roman" w:hAnsi="Arial" w:cs="Arial"/>
          <w:b/>
          <w:sz w:val="32"/>
          <w:szCs w:val="32"/>
        </w:rPr>
      </w:pPr>
      <w:r w:rsidRPr="006427FA">
        <w:rPr>
          <w:rFonts w:ascii="Arial" w:eastAsia="Times New Roman" w:hAnsi="Arial" w:cs="Arial"/>
          <w:b/>
          <w:sz w:val="32"/>
          <w:szCs w:val="32"/>
        </w:rPr>
        <w:t>Performance-Bas</w:t>
      </w:r>
      <w:r w:rsidRPr="006427FA">
        <w:rPr>
          <w:rFonts w:ascii="Arial" w:eastAsia="Times New Roman" w:hAnsi="Arial" w:cs="Arial"/>
          <w:b/>
          <w:bCs/>
          <w:kern w:val="32"/>
          <w:sz w:val="32"/>
          <w:szCs w:val="32"/>
        </w:rPr>
        <w:t>e</w:t>
      </w:r>
      <w:r w:rsidR="00B05176" w:rsidRPr="006427FA">
        <w:rPr>
          <w:rFonts w:ascii="Arial" w:eastAsia="Times New Roman" w:hAnsi="Arial" w:cs="Arial"/>
          <w:b/>
          <w:sz w:val="32"/>
          <w:szCs w:val="32"/>
        </w:rPr>
        <w:t xml:space="preserve">d </w:t>
      </w:r>
      <w:r w:rsidRPr="006427FA">
        <w:rPr>
          <w:rFonts w:ascii="Arial" w:eastAsia="Times New Roman" w:hAnsi="Arial" w:cs="Arial"/>
          <w:b/>
          <w:sz w:val="32"/>
          <w:szCs w:val="32"/>
        </w:rPr>
        <w:t>Planning</w:t>
      </w:r>
    </w:p>
    <w:p w:rsidR="0015089F" w:rsidRPr="00B17787" w:rsidRDefault="0015089F" w:rsidP="00DF3DE3">
      <w:pPr>
        <w:widowControl w:val="0"/>
        <w:autoSpaceDE w:val="0"/>
        <w:autoSpaceDN w:val="0"/>
        <w:adjustRightInd w:val="0"/>
        <w:spacing w:after="0" w:line="240" w:lineRule="auto"/>
        <w:rPr>
          <w:rFonts w:ascii="Arial" w:eastAsia="Times New Roman" w:hAnsi="Arial" w:cs="Arial"/>
          <w:b/>
          <w:sz w:val="24"/>
          <w:szCs w:val="24"/>
        </w:rPr>
      </w:pPr>
    </w:p>
    <w:p w:rsidR="0015089F" w:rsidRPr="00B17787" w:rsidRDefault="0015089F" w:rsidP="00DF3DE3">
      <w:pPr>
        <w:spacing w:after="0" w:line="240" w:lineRule="auto"/>
        <w:rPr>
          <w:rFonts w:ascii="Arial" w:eastAsia="Times New Roman" w:hAnsi="Arial" w:cs="Arial"/>
          <w:sz w:val="24"/>
          <w:szCs w:val="24"/>
        </w:rPr>
      </w:pPr>
      <w:r w:rsidRPr="00B17787">
        <w:rPr>
          <w:rFonts w:ascii="Arial" w:eastAsia="Times New Roman" w:hAnsi="Arial" w:cs="Arial"/>
          <w:sz w:val="24"/>
          <w:szCs w:val="24"/>
        </w:rPr>
        <w:t>A key feature of MAP-21/FAST Act is the establishment of a performance- and outcome-based program. The objective of this program is for the investment of resources in projects that collectively make progress toward the achievement of national goals.  National performance goals for the Federal-aid highway program must be established in seven areas: safety, infrastructure condition, congestion reduction, system reliability, freight movement, environmental sustainability, and reduced project delivery delays.</w:t>
      </w:r>
    </w:p>
    <w:p w:rsidR="0015089F" w:rsidRPr="00B17787" w:rsidRDefault="0015089F" w:rsidP="00DF3DE3">
      <w:pPr>
        <w:spacing w:after="0" w:line="240" w:lineRule="auto"/>
        <w:rPr>
          <w:rFonts w:ascii="Arial" w:eastAsia="Times New Roman" w:hAnsi="Arial" w:cs="Arial"/>
          <w:sz w:val="24"/>
          <w:szCs w:val="24"/>
        </w:rPr>
      </w:pPr>
    </w:p>
    <w:p w:rsidR="0015089F" w:rsidRDefault="0015089F" w:rsidP="00DF3DE3">
      <w:pPr>
        <w:widowControl w:val="0"/>
        <w:autoSpaceDE w:val="0"/>
        <w:autoSpaceDN w:val="0"/>
        <w:adjustRightInd w:val="0"/>
        <w:spacing w:after="0" w:line="240" w:lineRule="auto"/>
        <w:rPr>
          <w:rFonts w:ascii="Arial" w:eastAsia="Times New Roman" w:hAnsi="Arial" w:cs="Arial"/>
          <w:b/>
          <w:sz w:val="28"/>
          <w:szCs w:val="28"/>
        </w:rPr>
      </w:pPr>
      <w:r w:rsidRPr="00DF3DE3">
        <w:rPr>
          <w:rFonts w:ascii="Arial" w:eastAsia="Times New Roman" w:hAnsi="Arial" w:cs="Arial"/>
          <w:b/>
          <w:sz w:val="28"/>
          <w:szCs w:val="28"/>
        </w:rPr>
        <w:t>Performance Measures</w:t>
      </w:r>
    </w:p>
    <w:p w:rsidR="00DF3DE3" w:rsidRPr="00DF3DE3" w:rsidRDefault="00DF3DE3" w:rsidP="00DF3DE3">
      <w:pPr>
        <w:widowControl w:val="0"/>
        <w:autoSpaceDE w:val="0"/>
        <w:autoSpaceDN w:val="0"/>
        <w:adjustRightInd w:val="0"/>
        <w:spacing w:after="0" w:line="240" w:lineRule="auto"/>
        <w:rPr>
          <w:rFonts w:ascii="Arial" w:eastAsia="Times New Roman" w:hAnsi="Arial" w:cs="Arial"/>
          <w:b/>
          <w:sz w:val="28"/>
          <w:szCs w:val="28"/>
        </w:rPr>
      </w:pPr>
    </w:p>
    <w:p w:rsidR="0015089F" w:rsidRPr="00B17787" w:rsidRDefault="0015089F" w:rsidP="00DF3DE3">
      <w:pPr>
        <w:spacing w:after="0" w:line="240" w:lineRule="auto"/>
        <w:rPr>
          <w:rFonts w:ascii="Arial" w:eastAsia="Times New Roman" w:hAnsi="Arial" w:cs="Arial"/>
          <w:sz w:val="24"/>
          <w:szCs w:val="24"/>
        </w:rPr>
      </w:pPr>
      <w:r w:rsidRPr="00B17787">
        <w:rPr>
          <w:rFonts w:ascii="Arial" w:eastAsia="Times New Roman" w:hAnsi="Arial" w:cs="Arial"/>
          <w:sz w:val="24"/>
          <w:szCs w:val="24"/>
        </w:rPr>
        <w:t>The US DOT Secretary, in consultation with states, MPOs, and other stakeholders, will establish performance measures for:</w:t>
      </w:r>
    </w:p>
    <w:p w:rsidR="0015089F" w:rsidRPr="00B17787" w:rsidRDefault="0015089F" w:rsidP="00DF3DE3">
      <w:pPr>
        <w:widowControl w:val="0"/>
        <w:numPr>
          <w:ilvl w:val="0"/>
          <w:numId w:val="2"/>
        </w:numPr>
        <w:autoSpaceDE w:val="0"/>
        <w:autoSpaceDN w:val="0"/>
        <w:adjustRightInd w:val="0"/>
        <w:spacing w:after="0" w:line="240" w:lineRule="auto"/>
        <w:rPr>
          <w:rFonts w:ascii="Arial" w:eastAsia="Times New Roman" w:hAnsi="Arial" w:cs="Arial"/>
          <w:sz w:val="24"/>
          <w:szCs w:val="24"/>
        </w:rPr>
      </w:pPr>
      <w:r w:rsidRPr="00B17787">
        <w:rPr>
          <w:rFonts w:ascii="Arial" w:eastAsia="Times New Roman" w:hAnsi="Arial" w:cs="Arial"/>
          <w:sz w:val="24"/>
          <w:szCs w:val="24"/>
        </w:rPr>
        <w:t>Fatalities and serious injuries—both number and rate per vehicle mile traveled- on all public roads</w:t>
      </w:r>
    </w:p>
    <w:p w:rsidR="0015089F" w:rsidRPr="00B17787" w:rsidRDefault="0015089F" w:rsidP="00DF3DE3">
      <w:pPr>
        <w:widowControl w:val="0"/>
        <w:numPr>
          <w:ilvl w:val="0"/>
          <w:numId w:val="2"/>
        </w:numPr>
        <w:autoSpaceDE w:val="0"/>
        <w:autoSpaceDN w:val="0"/>
        <w:adjustRightInd w:val="0"/>
        <w:spacing w:after="0" w:line="240" w:lineRule="auto"/>
        <w:rPr>
          <w:rFonts w:ascii="Arial" w:eastAsia="Times New Roman" w:hAnsi="Arial" w:cs="Arial"/>
          <w:sz w:val="24"/>
          <w:szCs w:val="24"/>
        </w:rPr>
      </w:pPr>
      <w:r w:rsidRPr="00B17787">
        <w:rPr>
          <w:rFonts w:ascii="Arial" w:eastAsia="Times New Roman" w:hAnsi="Arial" w:cs="Arial"/>
          <w:sz w:val="24"/>
          <w:szCs w:val="24"/>
        </w:rPr>
        <w:t>Pavement condition on the Interstate System and on the remainder of the National Highway System</w:t>
      </w:r>
    </w:p>
    <w:p w:rsidR="0015089F" w:rsidRPr="00B17787" w:rsidRDefault="0015089F" w:rsidP="00DF3DE3">
      <w:pPr>
        <w:widowControl w:val="0"/>
        <w:numPr>
          <w:ilvl w:val="0"/>
          <w:numId w:val="2"/>
        </w:numPr>
        <w:autoSpaceDE w:val="0"/>
        <w:autoSpaceDN w:val="0"/>
        <w:adjustRightInd w:val="0"/>
        <w:spacing w:after="0" w:line="240" w:lineRule="auto"/>
        <w:rPr>
          <w:rFonts w:ascii="Arial" w:eastAsia="Times New Roman" w:hAnsi="Arial" w:cs="Arial"/>
          <w:sz w:val="24"/>
          <w:szCs w:val="24"/>
        </w:rPr>
      </w:pPr>
      <w:r w:rsidRPr="00B17787">
        <w:rPr>
          <w:rFonts w:ascii="Arial" w:eastAsia="Times New Roman" w:hAnsi="Arial" w:cs="Arial"/>
          <w:sz w:val="24"/>
          <w:szCs w:val="24"/>
        </w:rPr>
        <w:t>Performance of the Interstate System and the remainder of the NHS</w:t>
      </w:r>
    </w:p>
    <w:p w:rsidR="0015089F" w:rsidRPr="00B17787" w:rsidRDefault="0015089F" w:rsidP="00DF3DE3">
      <w:pPr>
        <w:widowControl w:val="0"/>
        <w:numPr>
          <w:ilvl w:val="0"/>
          <w:numId w:val="2"/>
        </w:numPr>
        <w:autoSpaceDE w:val="0"/>
        <w:autoSpaceDN w:val="0"/>
        <w:adjustRightInd w:val="0"/>
        <w:spacing w:after="0" w:line="240" w:lineRule="auto"/>
        <w:rPr>
          <w:rFonts w:ascii="Arial" w:eastAsia="Times New Roman" w:hAnsi="Arial" w:cs="Arial"/>
          <w:sz w:val="24"/>
          <w:szCs w:val="24"/>
        </w:rPr>
      </w:pPr>
      <w:r w:rsidRPr="00B17787">
        <w:rPr>
          <w:rFonts w:ascii="Arial" w:eastAsia="Times New Roman" w:hAnsi="Arial" w:cs="Arial"/>
          <w:sz w:val="24"/>
          <w:szCs w:val="24"/>
        </w:rPr>
        <w:t>Bridge condition on the NHS</w:t>
      </w:r>
    </w:p>
    <w:p w:rsidR="0015089F" w:rsidRPr="00B17787" w:rsidRDefault="0015089F" w:rsidP="00DF3DE3">
      <w:pPr>
        <w:widowControl w:val="0"/>
        <w:numPr>
          <w:ilvl w:val="0"/>
          <w:numId w:val="2"/>
        </w:numPr>
        <w:autoSpaceDE w:val="0"/>
        <w:autoSpaceDN w:val="0"/>
        <w:adjustRightInd w:val="0"/>
        <w:spacing w:after="0" w:line="240" w:lineRule="auto"/>
        <w:rPr>
          <w:rFonts w:ascii="Arial" w:eastAsia="Times New Roman" w:hAnsi="Arial" w:cs="Arial"/>
          <w:sz w:val="24"/>
          <w:szCs w:val="24"/>
        </w:rPr>
      </w:pPr>
      <w:r w:rsidRPr="00B17787">
        <w:rPr>
          <w:rFonts w:ascii="Arial" w:eastAsia="Times New Roman" w:hAnsi="Arial" w:cs="Arial"/>
          <w:sz w:val="24"/>
          <w:szCs w:val="24"/>
        </w:rPr>
        <w:t>Traffic congestion</w:t>
      </w:r>
    </w:p>
    <w:p w:rsidR="0015089F" w:rsidRPr="00B17787" w:rsidRDefault="0015089F" w:rsidP="00DF3DE3">
      <w:pPr>
        <w:widowControl w:val="0"/>
        <w:numPr>
          <w:ilvl w:val="0"/>
          <w:numId w:val="2"/>
        </w:numPr>
        <w:autoSpaceDE w:val="0"/>
        <w:autoSpaceDN w:val="0"/>
        <w:adjustRightInd w:val="0"/>
        <w:spacing w:after="0" w:line="240" w:lineRule="auto"/>
        <w:rPr>
          <w:rFonts w:ascii="Arial" w:eastAsia="Times New Roman" w:hAnsi="Arial" w:cs="Arial"/>
          <w:sz w:val="24"/>
          <w:szCs w:val="24"/>
        </w:rPr>
      </w:pPr>
      <w:r w:rsidRPr="00B17787">
        <w:rPr>
          <w:rFonts w:ascii="Arial" w:eastAsia="Times New Roman" w:hAnsi="Arial" w:cs="Arial"/>
          <w:sz w:val="24"/>
          <w:szCs w:val="24"/>
        </w:rPr>
        <w:t>On-road mobile source emissions</w:t>
      </w:r>
    </w:p>
    <w:p w:rsidR="0015089F" w:rsidRPr="00B17787" w:rsidRDefault="0015089F" w:rsidP="00DF3DE3">
      <w:pPr>
        <w:widowControl w:val="0"/>
        <w:numPr>
          <w:ilvl w:val="0"/>
          <w:numId w:val="2"/>
        </w:numPr>
        <w:autoSpaceDE w:val="0"/>
        <w:autoSpaceDN w:val="0"/>
        <w:adjustRightInd w:val="0"/>
        <w:spacing w:after="0" w:line="240" w:lineRule="auto"/>
        <w:rPr>
          <w:rFonts w:ascii="Arial" w:eastAsia="Times New Roman" w:hAnsi="Arial" w:cs="Arial"/>
          <w:sz w:val="24"/>
          <w:szCs w:val="24"/>
        </w:rPr>
      </w:pPr>
      <w:r w:rsidRPr="00B17787">
        <w:rPr>
          <w:rFonts w:ascii="Arial" w:eastAsia="Times New Roman" w:hAnsi="Arial" w:cs="Arial"/>
          <w:sz w:val="24"/>
          <w:szCs w:val="24"/>
        </w:rPr>
        <w:t>Freight movement on the Interstate System</w:t>
      </w:r>
    </w:p>
    <w:p w:rsidR="0015089F" w:rsidRPr="00B17787" w:rsidRDefault="0015089F" w:rsidP="00DF3DE3">
      <w:pPr>
        <w:spacing w:after="0" w:line="240" w:lineRule="auto"/>
        <w:rPr>
          <w:rFonts w:ascii="Arial" w:eastAsia="Times New Roman" w:hAnsi="Arial" w:cs="Arial"/>
          <w:sz w:val="24"/>
          <w:szCs w:val="24"/>
        </w:rPr>
      </w:pPr>
    </w:p>
    <w:p w:rsidR="0015089F" w:rsidRPr="00DF3DE3" w:rsidRDefault="0015089F" w:rsidP="00DF3DE3">
      <w:pPr>
        <w:widowControl w:val="0"/>
        <w:autoSpaceDE w:val="0"/>
        <w:autoSpaceDN w:val="0"/>
        <w:adjustRightInd w:val="0"/>
        <w:spacing w:after="0" w:line="240" w:lineRule="auto"/>
        <w:rPr>
          <w:rFonts w:ascii="Arial" w:eastAsia="Times New Roman" w:hAnsi="Arial" w:cs="Arial"/>
          <w:b/>
          <w:sz w:val="28"/>
          <w:szCs w:val="28"/>
        </w:rPr>
      </w:pPr>
      <w:r w:rsidRPr="00DF3DE3">
        <w:rPr>
          <w:rFonts w:ascii="Arial" w:eastAsia="Times New Roman" w:hAnsi="Arial" w:cs="Arial"/>
          <w:b/>
          <w:sz w:val="28"/>
          <w:szCs w:val="28"/>
        </w:rPr>
        <w:t>Performance Targets</w:t>
      </w:r>
    </w:p>
    <w:p w:rsidR="0015089F" w:rsidRPr="00B17787" w:rsidRDefault="0015089F" w:rsidP="00DF3DE3">
      <w:pPr>
        <w:widowControl w:val="0"/>
        <w:autoSpaceDE w:val="0"/>
        <w:autoSpaceDN w:val="0"/>
        <w:adjustRightInd w:val="0"/>
        <w:spacing w:after="0" w:line="240" w:lineRule="auto"/>
        <w:rPr>
          <w:rFonts w:ascii="Arial" w:eastAsia="Times New Roman" w:hAnsi="Arial" w:cs="Arial"/>
          <w:b/>
          <w:sz w:val="24"/>
          <w:szCs w:val="24"/>
        </w:rPr>
      </w:pPr>
    </w:p>
    <w:p w:rsidR="0015089F" w:rsidRPr="00B17787" w:rsidRDefault="0015089F" w:rsidP="00DF3DE3">
      <w:pPr>
        <w:widowControl w:val="0"/>
        <w:autoSpaceDE w:val="0"/>
        <w:autoSpaceDN w:val="0"/>
        <w:adjustRightInd w:val="0"/>
        <w:spacing w:after="0" w:line="240" w:lineRule="auto"/>
        <w:rPr>
          <w:rFonts w:ascii="Arial" w:eastAsia="Times New Roman" w:hAnsi="Arial" w:cs="Arial"/>
          <w:b/>
          <w:sz w:val="24"/>
          <w:szCs w:val="24"/>
        </w:rPr>
      </w:pPr>
      <w:r w:rsidRPr="00B17787">
        <w:rPr>
          <w:rFonts w:ascii="Arial" w:eastAsia="Times New Roman" w:hAnsi="Arial" w:cs="Arial"/>
          <w:b/>
          <w:sz w:val="24"/>
          <w:szCs w:val="24"/>
        </w:rPr>
        <w:t>State Targets</w:t>
      </w:r>
    </w:p>
    <w:p w:rsidR="0015089F" w:rsidRPr="00B17787" w:rsidRDefault="0015089F" w:rsidP="00DF3DE3">
      <w:pPr>
        <w:spacing w:after="0" w:line="240" w:lineRule="auto"/>
        <w:rPr>
          <w:rFonts w:ascii="Arial" w:eastAsia="Times New Roman" w:hAnsi="Arial" w:cs="Arial"/>
          <w:sz w:val="24"/>
          <w:szCs w:val="24"/>
        </w:rPr>
      </w:pPr>
      <w:r w:rsidRPr="00B17787">
        <w:rPr>
          <w:rFonts w:ascii="Arial" w:eastAsia="Times New Roman" w:hAnsi="Arial" w:cs="Arial"/>
          <w:sz w:val="24"/>
          <w:szCs w:val="24"/>
        </w:rPr>
        <w:t>Within one year of the US DOT final rule on performance measures, states are required to set performance targets in support of those measures. States may set different performance targets for urbanized and rural areas.  To ensure consistency each state must, to the maximum extent practicable:</w:t>
      </w:r>
    </w:p>
    <w:p w:rsidR="0015089F" w:rsidRPr="00B17787" w:rsidRDefault="0015089F" w:rsidP="00DF3DE3">
      <w:pPr>
        <w:widowControl w:val="0"/>
        <w:numPr>
          <w:ilvl w:val="0"/>
          <w:numId w:val="1"/>
        </w:numPr>
        <w:autoSpaceDE w:val="0"/>
        <w:autoSpaceDN w:val="0"/>
        <w:adjustRightInd w:val="0"/>
        <w:spacing w:after="0" w:line="240" w:lineRule="auto"/>
        <w:rPr>
          <w:rFonts w:ascii="Arial" w:eastAsia="Times New Roman" w:hAnsi="Arial" w:cs="Arial"/>
          <w:sz w:val="24"/>
          <w:szCs w:val="24"/>
        </w:rPr>
      </w:pPr>
      <w:r w:rsidRPr="00B17787">
        <w:rPr>
          <w:rFonts w:ascii="Arial" w:eastAsia="Times New Roman" w:hAnsi="Arial" w:cs="Arial"/>
          <w:sz w:val="24"/>
          <w:szCs w:val="24"/>
        </w:rPr>
        <w:t>Coordinate with an MPO when setting performance targets for the area represented by that MPO; and</w:t>
      </w:r>
    </w:p>
    <w:p w:rsidR="0015089F" w:rsidRPr="00B17787" w:rsidRDefault="0015089F" w:rsidP="00DF3DE3">
      <w:pPr>
        <w:widowControl w:val="0"/>
        <w:numPr>
          <w:ilvl w:val="0"/>
          <w:numId w:val="1"/>
        </w:numPr>
        <w:autoSpaceDE w:val="0"/>
        <w:autoSpaceDN w:val="0"/>
        <w:adjustRightInd w:val="0"/>
        <w:spacing w:after="0" w:line="240" w:lineRule="auto"/>
        <w:rPr>
          <w:rFonts w:ascii="Arial" w:eastAsia="Times New Roman" w:hAnsi="Arial" w:cs="Arial"/>
          <w:sz w:val="24"/>
          <w:szCs w:val="24"/>
        </w:rPr>
      </w:pPr>
      <w:r w:rsidRPr="00B17787">
        <w:rPr>
          <w:rFonts w:ascii="Arial" w:eastAsia="Times New Roman" w:hAnsi="Arial" w:cs="Arial"/>
          <w:sz w:val="24"/>
          <w:szCs w:val="24"/>
        </w:rPr>
        <w:t>Coordinate with public transportation providers when setting performance targets in an urbanized area not represented by an MPO. [§1202; 23 USC 135(d)(2)(B)]</w:t>
      </w:r>
    </w:p>
    <w:p w:rsidR="0015089F" w:rsidRPr="00B17787" w:rsidRDefault="0015089F" w:rsidP="00DF3DE3">
      <w:pPr>
        <w:spacing w:after="0" w:line="240" w:lineRule="auto"/>
        <w:rPr>
          <w:rFonts w:ascii="Arial" w:eastAsia="Times New Roman" w:hAnsi="Arial" w:cs="Arial"/>
          <w:i/>
          <w:iCs/>
          <w:sz w:val="24"/>
          <w:szCs w:val="24"/>
        </w:rPr>
      </w:pPr>
    </w:p>
    <w:p w:rsidR="0015089F" w:rsidRPr="00B17787" w:rsidRDefault="0015089F" w:rsidP="00DF3DE3">
      <w:pPr>
        <w:autoSpaceDE w:val="0"/>
        <w:autoSpaceDN w:val="0"/>
        <w:adjustRightInd w:val="0"/>
        <w:spacing w:after="0" w:line="240" w:lineRule="auto"/>
        <w:rPr>
          <w:rFonts w:ascii="Arial" w:hAnsi="Arial" w:cs="Arial"/>
          <w:sz w:val="24"/>
          <w:szCs w:val="24"/>
        </w:rPr>
      </w:pPr>
      <w:r w:rsidRPr="00B17787">
        <w:rPr>
          <w:rFonts w:ascii="Arial" w:eastAsia="Times New Roman" w:hAnsi="Arial" w:cs="Arial"/>
          <w:sz w:val="24"/>
          <w:szCs w:val="24"/>
        </w:rPr>
        <w:t xml:space="preserve">The Statewide Transportation Improvement Program (STIP), State asset management plans under the National Highway Performance Program (NHPP), and State performance plans under the Congestion Mitigation and Air Quality Improvement program are required to include performance targets.  Additionally, State and MPO targets </w:t>
      </w:r>
      <w:r w:rsidRPr="00B17787">
        <w:rPr>
          <w:rFonts w:ascii="Arial" w:eastAsia="Times New Roman" w:hAnsi="Arial" w:cs="Arial"/>
          <w:i/>
          <w:iCs/>
          <w:sz w:val="24"/>
          <w:szCs w:val="24"/>
        </w:rPr>
        <w:t>should</w:t>
      </w:r>
      <w:r w:rsidRPr="00B17787">
        <w:rPr>
          <w:rFonts w:ascii="Arial" w:eastAsia="Times New Roman" w:hAnsi="Arial" w:cs="Arial"/>
          <w:sz w:val="24"/>
          <w:szCs w:val="24"/>
        </w:rPr>
        <w:t xml:space="preserve"> be included in Statewide transportation plans.</w:t>
      </w:r>
      <w:r w:rsidRPr="00B17787">
        <w:rPr>
          <w:rFonts w:ascii="Arial" w:hAnsi="Arial" w:cs="Arial"/>
          <w:sz w:val="24"/>
          <w:szCs w:val="24"/>
        </w:rPr>
        <w:t xml:space="preserve"> Any new TIP document or </w:t>
      </w:r>
      <w:r w:rsidRPr="00B17787">
        <w:rPr>
          <w:rFonts w:ascii="Arial" w:hAnsi="Arial" w:cs="Arial"/>
          <w:sz w:val="24"/>
          <w:szCs w:val="24"/>
        </w:rPr>
        <w:lastRenderedPageBreak/>
        <w:t>amendment must comply with performance reporting requirements beginning on May 27, 2018.</w:t>
      </w:r>
    </w:p>
    <w:p w:rsidR="0015089F" w:rsidRPr="00B17787" w:rsidRDefault="0015089F" w:rsidP="00DF3DE3">
      <w:pPr>
        <w:autoSpaceDE w:val="0"/>
        <w:autoSpaceDN w:val="0"/>
        <w:adjustRightInd w:val="0"/>
        <w:spacing w:after="0" w:line="240" w:lineRule="auto"/>
        <w:rPr>
          <w:rFonts w:ascii="Arial" w:hAnsi="Arial" w:cs="Arial"/>
          <w:sz w:val="24"/>
          <w:szCs w:val="24"/>
        </w:rPr>
      </w:pPr>
    </w:p>
    <w:p w:rsidR="0015089F" w:rsidRPr="006D5116" w:rsidRDefault="0015089F" w:rsidP="00DF3DE3">
      <w:pPr>
        <w:autoSpaceDE w:val="0"/>
        <w:autoSpaceDN w:val="0"/>
        <w:adjustRightInd w:val="0"/>
        <w:spacing w:after="0" w:line="240" w:lineRule="auto"/>
        <w:rPr>
          <w:rFonts w:ascii="Arial" w:hAnsi="Arial" w:cs="Arial"/>
          <w:color w:val="FF0000"/>
          <w:sz w:val="24"/>
          <w:szCs w:val="24"/>
          <w:shd w:val="clear" w:color="auto" w:fill="FFFFFF"/>
        </w:rPr>
      </w:pPr>
      <w:r w:rsidRPr="00B17787">
        <w:rPr>
          <w:rFonts w:ascii="Arial" w:hAnsi="Arial" w:cs="Arial"/>
          <w:sz w:val="24"/>
          <w:szCs w:val="24"/>
        </w:rPr>
        <w:t>MAP</w:t>
      </w:r>
      <w:r w:rsidRPr="00B17787">
        <w:rPr>
          <w:rFonts w:ascii="Cambria Math" w:hAnsi="Cambria Math" w:cs="Cambria Math"/>
          <w:sz w:val="24"/>
          <w:szCs w:val="24"/>
        </w:rPr>
        <w:t>‐</w:t>
      </w:r>
      <w:r w:rsidRPr="00B17787">
        <w:rPr>
          <w:rFonts w:ascii="Arial" w:hAnsi="Arial" w:cs="Arial"/>
          <w:sz w:val="24"/>
          <w:szCs w:val="24"/>
        </w:rPr>
        <w:t>21</w:t>
      </w:r>
      <w:r w:rsidR="006D5116">
        <w:rPr>
          <w:rFonts w:ascii="Arial" w:hAnsi="Arial" w:cs="Arial"/>
          <w:sz w:val="24"/>
          <w:szCs w:val="24"/>
        </w:rPr>
        <w:t xml:space="preserve"> also </w:t>
      </w:r>
      <w:r w:rsidR="006D5116" w:rsidRPr="006D5116">
        <w:rPr>
          <w:rFonts w:ascii="Arial" w:hAnsi="Arial" w:cs="Arial"/>
          <w:sz w:val="24"/>
          <w:szCs w:val="24"/>
        </w:rPr>
        <w:t>mandated</w:t>
      </w:r>
      <w:r w:rsidR="006D5116" w:rsidRPr="006D5116">
        <w:rPr>
          <w:rFonts w:ascii="Arial" w:hAnsi="Arial" w:cs="Arial"/>
          <w:sz w:val="24"/>
          <w:szCs w:val="24"/>
          <w:shd w:val="clear" w:color="auto" w:fill="FFFFFF"/>
        </w:rPr>
        <w:t>—</w:t>
      </w:r>
      <w:r w:rsidR="00A444D4" w:rsidRPr="006D5116">
        <w:rPr>
          <w:rFonts w:ascii="Arial" w:hAnsi="Arial" w:cs="Arial"/>
          <w:sz w:val="24"/>
          <w:szCs w:val="24"/>
          <w:shd w:val="clear" w:color="auto" w:fill="FFFFFF"/>
        </w:rPr>
        <w:t>and in 2015</w:t>
      </w:r>
      <w:r w:rsidR="006D5116" w:rsidRPr="006D5116">
        <w:rPr>
          <w:rFonts w:ascii="Arial" w:hAnsi="Arial" w:cs="Arial"/>
          <w:sz w:val="24"/>
          <w:szCs w:val="24"/>
          <w:shd w:val="clear" w:color="auto" w:fill="FFFFFF"/>
        </w:rPr>
        <w:t>, the</w:t>
      </w:r>
      <w:r w:rsidR="00A444D4" w:rsidRPr="006D5116">
        <w:rPr>
          <w:rFonts w:ascii="Arial" w:hAnsi="Arial" w:cs="Arial"/>
          <w:sz w:val="24"/>
          <w:szCs w:val="24"/>
          <w:shd w:val="clear" w:color="auto" w:fill="FFFFFF"/>
        </w:rPr>
        <w:t xml:space="preserve"> FAST Act reauthorized</w:t>
      </w:r>
      <w:r w:rsidR="006D5116" w:rsidRPr="006D5116">
        <w:rPr>
          <w:rFonts w:ascii="Arial" w:hAnsi="Arial" w:cs="Arial"/>
          <w:sz w:val="24"/>
          <w:szCs w:val="24"/>
          <w:shd w:val="clear" w:color="auto" w:fill="FFFFFF"/>
        </w:rPr>
        <w:t>—</w:t>
      </w:r>
      <w:r w:rsidRPr="006D5116">
        <w:rPr>
          <w:rFonts w:ascii="Arial" w:hAnsi="Arial" w:cs="Arial"/>
          <w:sz w:val="24"/>
          <w:szCs w:val="24"/>
        </w:rPr>
        <w:t xml:space="preserve">the </w:t>
      </w:r>
      <w:r w:rsidRPr="00B17787">
        <w:rPr>
          <w:rFonts w:ascii="Arial" w:hAnsi="Arial" w:cs="Arial"/>
          <w:sz w:val="24"/>
          <w:szCs w:val="24"/>
        </w:rPr>
        <w:t>Federal Transit Administration (FTA) t</w:t>
      </w:r>
      <w:r w:rsidR="00996BB5" w:rsidRPr="00B17787">
        <w:rPr>
          <w:rFonts w:ascii="Arial" w:hAnsi="Arial" w:cs="Arial"/>
          <w:sz w:val="24"/>
          <w:szCs w:val="24"/>
        </w:rPr>
        <w:t xml:space="preserve">o develop a rule establishing a </w:t>
      </w:r>
      <w:r w:rsidRPr="00B17787">
        <w:rPr>
          <w:rFonts w:ascii="Arial" w:hAnsi="Arial" w:cs="Arial"/>
          <w:sz w:val="24"/>
          <w:szCs w:val="24"/>
        </w:rPr>
        <w:t>strategic and systematic process of operating, maintaining, and improving public capital assets</w:t>
      </w:r>
      <w:r w:rsidR="00996BB5" w:rsidRPr="00B17787">
        <w:rPr>
          <w:rFonts w:ascii="Arial" w:hAnsi="Arial" w:cs="Arial"/>
          <w:sz w:val="24"/>
          <w:szCs w:val="24"/>
        </w:rPr>
        <w:t xml:space="preserve"> </w:t>
      </w:r>
      <w:r w:rsidRPr="00B17787">
        <w:rPr>
          <w:rFonts w:ascii="Arial" w:hAnsi="Arial" w:cs="Arial"/>
          <w:sz w:val="24"/>
          <w:szCs w:val="24"/>
        </w:rPr>
        <w:t xml:space="preserve">effectively through their entire life cycle. Targets </w:t>
      </w:r>
      <w:r w:rsidR="00700B32">
        <w:rPr>
          <w:rFonts w:ascii="Arial" w:hAnsi="Arial" w:cs="Arial"/>
          <w:sz w:val="24"/>
          <w:szCs w:val="24"/>
        </w:rPr>
        <w:t xml:space="preserve">must be </w:t>
      </w:r>
      <w:r w:rsidRPr="00B17787">
        <w:rPr>
          <w:rFonts w:ascii="Arial" w:hAnsi="Arial" w:cs="Arial"/>
          <w:sz w:val="24"/>
          <w:szCs w:val="24"/>
        </w:rPr>
        <w:t>establish</w:t>
      </w:r>
      <w:r w:rsidR="00700B32">
        <w:rPr>
          <w:rFonts w:ascii="Arial" w:hAnsi="Arial" w:cs="Arial"/>
          <w:sz w:val="24"/>
          <w:szCs w:val="24"/>
        </w:rPr>
        <w:t>ed</w:t>
      </w:r>
      <w:r w:rsidRPr="00B17787">
        <w:rPr>
          <w:rFonts w:ascii="Arial" w:hAnsi="Arial" w:cs="Arial"/>
          <w:sz w:val="24"/>
          <w:szCs w:val="24"/>
        </w:rPr>
        <w:t xml:space="preserve"> for rolling stock,</w:t>
      </w:r>
      <w:r w:rsidR="00996BB5" w:rsidRPr="00B17787">
        <w:rPr>
          <w:rFonts w:ascii="Arial" w:hAnsi="Arial" w:cs="Arial"/>
          <w:sz w:val="24"/>
          <w:szCs w:val="24"/>
        </w:rPr>
        <w:t xml:space="preserve"> </w:t>
      </w:r>
      <w:r w:rsidRPr="00B17787">
        <w:rPr>
          <w:rFonts w:ascii="Arial" w:hAnsi="Arial" w:cs="Arial"/>
          <w:sz w:val="24"/>
          <w:szCs w:val="24"/>
        </w:rPr>
        <w:t>equipment, facilities, and infrastructure, which are detailed in this section under Transit</w:t>
      </w:r>
      <w:r w:rsidR="00996BB5" w:rsidRPr="00B17787">
        <w:rPr>
          <w:rFonts w:ascii="Arial" w:hAnsi="Arial" w:cs="Arial"/>
          <w:sz w:val="24"/>
          <w:szCs w:val="24"/>
        </w:rPr>
        <w:t xml:space="preserve"> </w:t>
      </w:r>
      <w:r w:rsidRPr="00B17787">
        <w:rPr>
          <w:rFonts w:ascii="Arial" w:hAnsi="Arial" w:cs="Arial"/>
          <w:sz w:val="24"/>
          <w:szCs w:val="24"/>
        </w:rPr>
        <w:t>Performance.</w:t>
      </w:r>
    </w:p>
    <w:p w:rsidR="001C363C" w:rsidRPr="00B17787" w:rsidRDefault="001C363C" w:rsidP="00DF3DE3">
      <w:pPr>
        <w:spacing w:after="0" w:line="240" w:lineRule="auto"/>
        <w:rPr>
          <w:rFonts w:ascii="Arial" w:hAnsi="Arial" w:cs="Arial"/>
          <w:sz w:val="24"/>
          <w:szCs w:val="24"/>
        </w:rPr>
      </w:pPr>
    </w:p>
    <w:p w:rsidR="001C363C" w:rsidRPr="00B17787" w:rsidRDefault="001C363C" w:rsidP="00DF3DE3">
      <w:pPr>
        <w:widowControl w:val="0"/>
        <w:autoSpaceDE w:val="0"/>
        <w:autoSpaceDN w:val="0"/>
        <w:adjustRightInd w:val="0"/>
        <w:spacing w:after="0" w:line="240" w:lineRule="auto"/>
        <w:rPr>
          <w:rFonts w:ascii="Arial" w:eastAsia="Times New Roman" w:hAnsi="Arial" w:cs="Arial"/>
          <w:b/>
          <w:i/>
          <w:sz w:val="24"/>
          <w:szCs w:val="24"/>
        </w:rPr>
      </w:pPr>
      <w:r w:rsidRPr="00B17787">
        <w:rPr>
          <w:rFonts w:ascii="Arial" w:eastAsia="Times New Roman" w:hAnsi="Arial" w:cs="Arial"/>
          <w:b/>
          <w:sz w:val="24"/>
          <w:szCs w:val="24"/>
        </w:rPr>
        <w:t xml:space="preserve">MPO Targets </w:t>
      </w:r>
    </w:p>
    <w:p w:rsidR="001C363C" w:rsidRPr="00B17787" w:rsidRDefault="001C363C" w:rsidP="00DF3DE3">
      <w:pPr>
        <w:spacing w:after="0" w:line="240" w:lineRule="auto"/>
        <w:rPr>
          <w:rFonts w:ascii="Arial" w:eastAsia="Times New Roman" w:hAnsi="Arial" w:cs="Arial"/>
          <w:sz w:val="24"/>
          <w:szCs w:val="24"/>
        </w:rPr>
      </w:pPr>
      <w:r w:rsidRPr="00B17787">
        <w:rPr>
          <w:rFonts w:ascii="Arial" w:hAnsi="Arial" w:cs="Arial"/>
          <w:sz w:val="24"/>
          <w:szCs w:val="24"/>
        </w:rPr>
        <w:t>Within 180 days of states or providers of public transportation setting performance targets, MAP-</w:t>
      </w:r>
      <w:r w:rsidRPr="008A6B99">
        <w:rPr>
          <w:rFonts w:ascii="Arial" w:hAnsi="Arial" w:cs="Arial"/>
          <w:sz w:val="24"/>
          <w:szCs w:val="24"/>
        </w:rPr>
        <w:t>21</w:t>
      </w:r>
      <w:r w:rsidR="00AD3422" w:rsidRPr="008A6B99">
        <w:rPr>
          <w:rFonts w:ascii="Arial" w:hAnsi="Arial" w:cs="Arial"/>
          <w:sz w:val="24"/>
          <w:szCs w:val="24"/>
        </w:rPr>
        <w:t>/FAST Act</w:t>
      </w:r>
      <w:r w:rsidRPr="008A6B99">
        <w:rPr>
          <w:rFonts w:ascii="Arial" w:hAnsi="Arial" w:cs="Arial"/>
          <w:sz w:val="24"/>
          <w:szCs w:val="24"/>
        </w:rPr>
        <w:t xml:space="preserve"> requires </w:t>
      </w:r>
      <w:r w:rsidRPr="00B17787">
        <w:rPr>
          <w:rFonts w:ascii="Arial" w:hAnsi="Arial" w:cs="Arial"/>
          <w:sz w:val="24"/>
          <w:szCs w:val="24"/>
        </w:rPr>
        <w:t xml:space="preserve">MPOs to set performance targets in relation to the performance measures (where applicable). To ensure consistency, each MPO must, to the maximum extent practicable, coordinate with the relevant State and public transportation providers when setting performance targets.  </w:t>
      </w:r>
    </w:p>
    <w:p w:rsidR="0015089F" w:rsidRPr="00B17787" w:rsidRDefault="0015089F" w:rsidP="00DF3DE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eastAsia="Times New Roman" w:hAnsi="Arial" w:cs="Arial"/>
          <w:sz w:val="24"/>
          <w:szCs w:val="24"/>
        </w:rPr>
      </w:pPr>
    </w:p>
    <w:p w:rsidR="0015089F" w:rsidRPr="006427FA" w:rsidRDefault="0015089F" w:rsidP="00DF3DE3">
      <w:pPr>
        <w:autoSpaceDE w:val="0"/>
        <w:autoSpaceDN w:val="0"/>
        <w:adjustRightInd w:val="0"/>
        <w:spacing w:after="0" w:line="240" w:lineRule="auto"/>
        <w:rPr>
          <w:rFonts w:ascii="Arial" w:hAnsi="Arial" w:cs="Arial"/>
          <w:b/>
          <w:bCs/>
          <w:sz w:val="28"/>
          <w:szCs w:val="28"/>
        </w:rPr>
      </w:pPr>
      <w:r w:rsidRPr="006427FA">
        <w:rPr>
          <w:rFonts w:ascii="Arial" w:hAnsi="Arial" w:cs="Arial"/>
          <w:b/>
          <w:bCs/>
          <w:sz w:val="28"/>
          <w:szCs w:val="28"/>
        </w:rPr>
        <w:t>Current TIP Procedures for Selecting/Programming Projects and Addressing Performance Measures</w:t>
      </w:r>
    </w:p>
    <w:p w:rsidR="0015089F" w:rsidRPr="00B17787" w:rsidRDefault="0015089F" w:rsidP="00DF3DE3">
      <w:pPr>
        <w:autoSpaceDE w:val="0"/>
        <w:autoSpaceDN w:val="0"/>
        <w:adjustRightInd w:val="0"/>
        <w:spacing w:after="0" w:line="240" w:lineRule="auto"/>
        <w:rPr>
          <w:rFonts w:ascii="Arial" w:hAnsi="Arial" w:cs="Arial"/>
          <w:b/>
          <w:bCs/>
          <w:sz w:val="24"/>
          <w:szCs w:val="24"/>
        </w:rPr>
      </w:pPr>
    </w:p>
    <w:p w:rsidR="005B7832" w:rsidRPr="00B17787" w:rsidRDefault="0015089F" w:rsidP="005B7832">
      <w:pPr>
        <w:spacing w:line="240" w:lineRule="auto"/>
        <w:rPr>
          <w:rFonts w:ascii="Arial" w:eastAsia="Times New Roman" w:hAnsi="Arial" w:cs="Arial"/>
          <w:sz w:val="24"/>
          <w:szCs w:val="24"/>
        </w:rPr>
      </w:pPr>
      <w:r w:rsidRPr="00B17787">
        <w:rPr>
          <w:rFonts w:ascii="Arial" w:eastAsia="Times New Roman" w:hAnsi="Arial" w:cs="Arial"/>
          <w:sz w:val="24"/>
          <w:szCs w:val="24"/>
        </w:rPr>
        <w:t>In an effort to clearly define and document the process by which projects are programmed into the TIP, staff at GVMC outlined before the TPSG Committee the tools used by local jurisdictions, MDOT and ITP to show how a project evolves from the preliminary stages to being programmed into a TIP. (See Appendices E, F, H, I &amp; J.)  From this effort, the TPSG, Technical and Policy Committees met on several occasions to develop one document to be used as a guide for programming projects by all entities.  This guide, named “Policies for Programming Projects,” (a continually updated and revised document) lays out procedures that conform to the revised planning process and attempts to unify the three processes into one.  This document also employs a guide for programming projects that leads to relieving roadway congestion deficiencies, pavement condition deficiencies, improving transit, and developing improved non-motorized facilities in the area. (See Appendix K).</w:t>
      </w:r>
      <w:r w:rsidR="005B7832">
        <w:rPr>
          <w:rFonts w:ascii="Arial" w:eastAsia="Times New Roman" w:hAnsi="Arial" w:cs="Arial"/>
          <w:sz w:val="24"/>
          <w:szCs w:val="24"/>
        </w:rPr>
        <w:t xml:space="preserve"> </w:t>
      </w:r>
    </w:p>
    <w:p w:rsidR="005B7832" w:rsidRDefault="0015089F" w:rsidP="00DF3DE3">
      <w:pPr>
        <w:spacing w:line="240" w:lineRule="auto"/>
        <w:rPr>
          <w:rFonts w:ascii="Arial" w:eastAsia="Times New Roman" w:hAnsi="Arial" w:cs="Arial"/>
          <w:sz w:val="24"/>
          <w:szCs w:val="24"/>
        </w:rPr>
      </w:pPr>
      <w:r w:rsidRPr="00B17787">
        <w:rPr>
          <w:rFonts w:ascii="Arial" w:eastAsia="Times New Roman" w:hAnsi="Arial" w:cs="Arial"/>
          <w:sz w:val="24"/>
          <w:szCs w:val="24"/>
        </w:rPr>
        <w:t>Like other MPOs statewide, GVMC has and continues to face limitations in funding resources at the local, state, and federal levels</w:t>
      </w:r>
      <w:r w:rsidR="00700B32">
        <w:rPr>
          <w:rFonts w:ascii="Arial" w:eastAsia="Times New Roman" w:hAnsi="Arial" w:cs="Arial"/>
          <w:sz w:val="24"/>
          <w:szCs w:val="24"/>
        </w:rPr>
        <w:t xml:space="preserve">, which means that system needs </w:t>
      </w:r>
      <w:r w:rsidR="000C1EF4">
        <w:rPr>
          <w:rFonts w:ascii="Arial" w:eastAsia="Times New Roman" w:hAnsi="Arial" w:cs="Arial"/>
          <w:sz w:val="24"/>
          <w:szCs w:val="24"/>
        </w:rPr>
        <w:t>remain unmet in spite of our best efforts</w:t>
      </w:r>
      <w:r w:rsidRPr="00B17787">
        <w:rPr>
          <w:rFonts w:ascii="Arial" w:eastAsia="Times New Roman" w:hAnsi="Arial" w:cs="Arial"/>
          <w:sz w:val="24"/>
          <w:szCs w:val="24"/>
        </w:rPr>
        <w:t xml:space="preserve">. </w:t>
      </w:r>
      <w:r w:rsidR="000C1EF4">
        <w:rPr>
          <w:rFonts w:ascii="Arial" w:eastAsia="Times New Roman" w:hAnsi="Arial" w:cs="Arial"/>
          <w:sz w:val="24"/>
          <w:szCs w:val="24"/>
        </w:rPr>
        <w:t>Because of funding shortages, GVMC has historically funded the greatest percentage of projects that are deficient due to pavement condition as these projects tend to benefit the largest number of system users and the system as a whole.</w:t>
      </w:r>
      <w:r w:rsidR="005B7832">
        <w:rPr>
          <w:rFonts w:ascii="Arial" w:eastAsia="Times New Roman" w:hAnsi="Arial" w:cs="Arial"/>
          <w:sz w:val="24"/>
          <w:szCs w:val="24"/>
        </w:rPr>
        <w:t xml:space="preserve"> It</w:t>
      </w:r>
      <w:r w:rsidR="000C1EF4">
        <w:rPr>
          <w:rFonts w:ascii="Arial" w:eastAsia="Times New Roman" w:hAnsi="Arial" w:cs="Arial"/>
          <w:sz w:val="24"/>
          <w:szCs w:val="24"/>
        </w:rPr>
        <w:t xml:space="preserve"> also becomes more expensive to fix a pavement deficient project as time goes on, so choosing pavement deficient projects has helped to stretch </w:t>
      </w:r>
      <w:r w:rsidR="005B7832">
        <w:rPr>
          <w:rFonts w:ascii="Arial" w:eastAsia="Times New Roman" w:hAnsi="Arial" w:cs="Arial"/>
          <w:sz w:val="24"/>
          <w:szCs w:val="24"/>
        </w:rPr>
        <w:t xml:space="preserve">the </w:t>
      </w:r>
      <w:r w:rsidR="000C1EF4">
        <w:rPr>
          <w:rFonts w:ascii="Arial" w:eastAsia="Times New Roman" w:hAnsi="Arial" w:cs="Arial"/>
          <w:sz w:val="24"/>
          <w:szCs w:val="24"/>
        </w:rPr>
        <w:t>limited dollars</w:t>
      </w:r>
      <w:r w:rsidR="005B7832">
        <w:rPr>
          <w:rFonts w:ascii="Arial" w:eastAsia="Times New Roman" w:hAnsi="Arial" w:cs="Arial"/>
          <w:sz w:val="24"/>
          <w:szCs w:val="24"/>
        </w:rPr>
        <w:t xml:space="preserve"> we receive</w:t>
      </w:r>
      <w:r w:rsidR="000C1EF4">
        <w:rPr>
          <w:rFonts w:ascii="Arial" w:eastAsia="Times New Roman" w:hAnsi="Arial" w:cs="Arial"/>
          <w:sz w:val="24"/>
          <w:szCs w:val="24"/>
        </w:rPr>
        <w:t xml:space="preserve">. </w:t>
      </w:r>
    </w:p>
    <w:p w:rsidR="0030521F" w:rsidRPr="00B17787" w:rsidRDefault="0015089F" w:rsidP="0030521F">
      <w:pPr>
        <w:spacing w:line="240" w:lineRule="auto"/>
        <w:rPr>
          <w:rFonts w:ascii="Arial" w:eastAsia="Times New Roman" w:hAnsi="Arial" w:cs="Arial"/>
          <w:sz w:val="24"/>
          <w:szCs w:val="24"/>
        </w:rPr>
      </w:pPr>
      <w:r w:rsidRPr="00B17787">
        <w:rPr>
          <w:rFonts w:ascii="Arial" w:eastAsia="Times New Roman" w:hAnsi="Arial" w:cs="Arial"/>
          <w:sz w:val="24"/>
          <w:szCs w:val="24"/>
        </w:rPr>
        <w:t xml:space="preserve">Before the development process </w:t>
      </w:r>
      <w:r w:rsidR="005B7832">
        <w:rPr>
          <w:rFonts w:ascii="Arial" w:eastAsia="Times New Roman" w:hAnsi="Arial" w:cs="Arial"/>
          <w:sz w:val="24"/>
          <w:szCs w:val="24"/>
        </w:rPr>
        <w:t xml:space="preserve">for the FY2017-2020 TIP </w:t>
      </w:r>
      <w:r w:rsidRPr="00B17787">
        <w:rPr>
          <w:rFonts w:ascii="Arial" w:eastAsia="Times New Roman" w:hAnsi="Arial" w:cs="Arial"/>
          <w:sz w:val="24"/>
          <w:szCs w:val="24"/>
        </w:rPr>
        <w:t xml:space="preserve">began, GVMC ran a deficiency analysis on pavement condition and congestion and generated a list of deficient projects through that process. Once this list was developed, we asked jurisdictions to submit projects to be considered for programming in the TIP which created a non-fiscally constrained pool of projects. Staff then added each project to a spreadsheet along with corresponding data gleaned from the Congestion Management </w:t>
      </w:r>
      <w:r w:rsidRPr="00B17787">
        <w:rPr>
          <w:rFonts w:ascii="Arial" w:eastAsia="Times New Roman" w:hAnsi="Arial" w:cs="Arial"/>
          <w:sz w:val="24"/>
          <w:szCs w:val="24"/>
        </w:rPr>
        <w:lastRenderedPageBreak/>
        <w:t>(CMS) and Pavement Management (PaMS) systems, including information related to level of service, the current PASER rating, crash data and traffic counts. This effort produced a list of facilities in need of either congestion relief (taken directly from the 2040 MTP) or pavement condition improvements.  Non-motorized projects were ranked and scored according to five criteria outlined in our Non-Motorized Plan before they were brought through our Committee structure for consideration: (1) mode shift, (2) connectivity/continuity, (3) safety/ADA, (4) regional vs. local facility, and (5) high use/social equity.</w:t>
      </w:r>
      <w:r w:rsidRPr="00B17787">
        <w:rPr>
          <w:rFonts w:ascii="Arial" w:eastAsia="Calibri" w:hAnsi="Arial" w:cs="Arial"/>
          <w:sz w:val="24"/>
          <w:szCs w:val="24"/>
        </w:rPr>
        <w:t xml:space="preserve"> </w:t>
      </w:r>
    </w:p>
    <w:p w:rsidR="0015089F" w:rsidRPr="00B17787" w:rsidRDefault="0015089F" w:rsidP="00DF3DE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eastAsia="Times New Roman" w:hAnsi="Arial" w:cs="Arial"/>
          <w:sz w:val="24"/>
          <w:szCs w:val="24"/>
        </w:rPr>
      </w:pPr>
      <w:r w:rsidRPr="00B17787">
        <w:rPr>
          <w:rFonts w:ascii="Arial" w:eastAsia="Times New Roman" w:hAnsi="Arial" w:cs="Arial"/>
          <w:sz w:val="24"/>
          <w:szCs w:val="24"/>
        </w:rPr>
        <w:t xml:space="preserve">Staff from </w:t>
      </w:r>
      <w:r w:rsidR="0030521F">
        <w:rPr>
          <w:rFonts w:ascii="Arial" w:eastAsia="Times New Roman" w:hAnsi="Arial" w:cs="Arial"/>
          <w:sz w:val="24"/>
          <w:szCs w:val="24"/>
        </w:rPr>
        <w:t>local jurisdictions</w:t>
      </w:r>
      <w:r w:rsidRPr="00B17787">
        <w:rPr>
          <w:rFonts w:ascii="Arial" w:eastAsia="Times New Roman" w:hAnsi="Arial" w:cs="Arial"/>
          <w:sz w:val="24"/>
          <w:szCs w:val="24"/>
        </w:rPr>
        <w:t xml:space="preserve"> were then asked to develop a list of projects from these deficiency lists that could be implemented by the years 2017 through 2020.  These potential projects were collected by staff and a pool of projects was developed.  The Transportation Programming Study Group evaluated all of the projects based on the provided data as well as policies and restraints in place in light of the available funding and used that information to determine which projects </w:t>
      </w:r>
      <w:r w:rsidR="0030521F">
        <w:rPr>
          <w:rFonts w:ascii="Arial" w:eastAsia="Times New Roman" w:hAnsi="Arial" w:cs="Arial"/>
          <w:sz w:val="24"/>
          <w:szCs w:val="24"/>
        </w:rPr>
        <w:t>we</w:t>
      </w:r>
      <w:r w:rsidRPr="00B17787">
        <w:rPr>
          <w:rFonts w:ascii="Arial" w:eastAsia="Times New Roman" w:hAnsi="Arial" w:cs="Arial"/>
          <w:sz w:val="24"/>
          <w:szCs w:val="24"/>
        </w:rPr>
        <w:t xml:space="preserve">re funded.  </w:t>
      </w:r>
    </w:p>
    <w:p w:rsidR="0015089F" w:rsidRPr="00B17787" w:rsidRDefault="0015089F" w:rsidP="00DF3DE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eastAsia="Times New Roman" w:hAnsi="Arial" w:cs="Arial"/>
          <w:sz w:val="24"/>
          <w:szCs w:val="24"/>
        </w:rPr>
      </w:pPr>
    </w:p>
    <w:p w:rsidR="0015089F" w:rsidRPr="00B17787" w:rsidRDefault="0015089F" w:rsidP="0030521F">
      <w:pPr>
        <w:spacing w:line="240" w:lineRule="auto"/>
        <w:rPr>
          <w:rFonts w:ascii="Arial" w:eastAsia="Times New Roman" w:hAnsi="Arial" w:cs="Arial"/>
          <w:sz w:val="24"/>
          <w:szCs w:val="24"/>
        </w:rPr>
      </w:pPr>
      <w:r w:rsidRPr="00B17787">
        <w:rPr>
          <w:rFonts w:ascii="Arial" w:eastAsia="Times New Roman" w:hAnsi="Arial" w:cs="Arial"/>
          <w:sz w:val="24"/>
          <w:szCs w:val="24"/>
        </w:rPr>
        <w:t xml:space="preserve">The final step in the development of the TIP list of projects involved the MPO members prioritizing a financially constrained project list as required by federal regulations. In January 2016, the TPSG Committee met and selected projects from the TIP pool of projects.  The TIP project selection process included factors such as regional equity, deficiency (condition, safety or capacity), air quality improvement and connectivity.  Using this approach, it can be assured that all of the projects programmed in the FY 2017-2020 TIP will improve an identified transportation system deficiency. </w:t>
      </w:r>
      <w:r w:rsidR="0030521F">
        <w:rPr>
          <w:rFonts w:ascii="Arial" w:eastAsia="Times New Roman" w:hAnsi="Arial" w:cs="Arial"/>
          <w:sz w:val="24"/>
          <w:szCs w:val="24"/>
        </w:rPr>
        <w:t>While t</w:t>
      </w:r>
      <w:r w:rsidR="0030521F" w:rsidRPr="00B17787">
        <w:rPr>
          <w:rFonts w:ascii="Arial" w:eastAsia="Times New Roman" w:hAnsi="Arial" w:cs="Arial"/>
          <w:sz w:val="24"/>
          <w:szCs w:val="24"/>
        </w:rPr>
        <w:t xml:space="preserve">he FY2017-2020 TIP and 2040 Metropolitan Transportation plan were developed before </w:t>
      </w:r>
      <w:r w:rsidR="0030521F">
        <w:rPr>
          <w:rFonts w:ascii="Arial" w:eastAsia="Times New Roman" w:hAnsi="Arial" w:cs="Arial"/>
          <w:sz w:val="24"/>
          <w:szCs w:val="24"/>
        </w:rPr>
        <w:t xml:space="preserve">requirements for performance-based planning and programming took effect, GVMC was still able to </w:t>
      </w:r>
      <w:r w:rsidR="0030521F" w:rsidRPr="00B17787">
        <w:rPr>
          <w:rFonts w:ascii="Arial" w:eastAsia="Times New Roman" w:hAnsi="Arial" w:cs="Arial"/>
          <w:sz w:val="24"/>
          <w:szCs w:val="24"/>
        </w:rPr>
        <w:t xml:space="preserve">collect data </w:t>
      </w:r>
      <w:r w:rsidR="0030521F">
        <w:rPr>
          <w:rFonts w:ascii="Arial" w:eastAsia="Times New Roman" w:hAnsi="Arial" w:cs="Arial"/>
          <w:sz w:val="24"/>
          <w:szCs w:val="24"/>
        </w:rPr>
        <w:t xml:space="preserve">for </w:t>
      </w:r>
      <w:r w:rsidR="0030521F" w:rsidRPr="00B17787">
        <w:rPr>
          <w:rFonts w:ascii="Arial" w:eastAsia="Times New Roman" w:hAnsi="Arial" w:cs="Arial"/>
          <w:sz w:val="24"/>
          <w:szCs w:val="24"/>
        </w:rPr>
        <w:t xml:space="preserve">and </w:t>
      </w:r>
      <w:r w:rsidR="0030521F">
        <w:rPr>
          <w:rFonts w:ascii="Arial" w:eastAsia="Times New Roman" w:hAnsi="Arial" w:cs="Arial"/>
          <w:sz w:val="24"/>
          <w:szCs w:val="24"/>
        </w:rPr>
        <w:t xml:space="preserve">address several </w:t>
      </w:r>
      <w:r w:rsidR="0030521F" w:rsidRPr="00B17787">
        <w:rPr>
          <w:rFonts w:ascii="Arial" w:eastAsia="Times New Roman" w:hAnsi="Arial" w:cs="Arial"/>
          <w:sz w:val="24"/>
          <w:szCs w:val="24"/>
        </w:rPr>
        <w:t>performance measure</w:t>
      </w:r>
      <w:r w:rsidR="0030521F">
        <w:rPr>
          <w:rFonts w:ascii="Arial" w:eastAsia="Times New Roman" w:hAnsi="Arial" w:cs="Arial"/>
          <w:sz w:val="24"/>
          <w:szCs w:val="24"/>
        </w:rPr>
        <w:t xml:space="preserve"> areas</w:t>
      </w:r>
      <w:r w:rsidR="0030521F" w:rsidRPr="00B17787">
        <w:rPr>
          <w:rFonts w:ascii="Arial" w:eastAsia="Times New Roman" w:hAnsi="Arial" w:cs="Arial"/>
          <w:sz w:val="24"/>
          <w:szCs w:val="24"/>
        </w:rPr>
        <w:t xml:space="preserve"> </w:t>
      </w:r>
      <w:r w:rsidR="0030521F">
        <w:rPr>
          <w:rFonts w:ascii="Arial" w:eastAsia="Times New Roman" w:hAnsi="Arial" w:cs="Arial"/>
          <w:sz w:val="24"/>
          <w:szCs w:val="24"/>
        </w:rPr>
        <w:t xml:space="preserve">(i.e., </w:t>
      </w:r>
      <w:r w:rsidR="0030521F" w:rsidRPr="00B17787">
        <w:rPr>
          <w:rFonts w:ascii="Arial" w:eastAsia="Times New Roman" w:hAnsi="Arial" w:cs="Arial"/>
          <w:sz w:val="24"/>
          <w:szCs w:val="24"/>
        </w:rPr>
        <w:t>condition, safety or capacity</w:t>
      </w:r>
      <w:r w:rsidR="0030521F">
        <w:rPr>
          <w:rFonts w:ascii="Arial" w:eastAsia="Times New Roman" w:hAnsi="Arial" w:cs="Arial"/>
          <w:sz w:val="24"/>
          <w:szCs w:val="24"/>
        </w:rPr>
        <w:t xml:space="preserve">) </w:t>
      </w:r>
      <w:r w:rsidR="0030521F" w:rsidRPr="00B17787">
        <w:rPr>
          <w:rFonts w:ascii="Arial" w:eastAsia="Times New Roman" w:hAnsi="Arial" w:cs="Arial"/>
          <w:sz w:val="24"/>
          <w:szCs w:val="24"/>
        </w:rPr>
        <w:t xml:space="preserve">in our project selection process. </w:t>
      </w:r>
      <w:r w:rsidRPr="00B17787">
        <w:rPr>
          <w:rFonts w:ascii="Arial" w:eastAsia="Times New Roman" w:hAnsi="Arial" w:cs="Arial"/>
          <w:sz w:val="24"/>
          <w:szCs w:val="24"/>
        </w:rPr>
        <w:t>The result of that programming effort is reflected in the proposed FY 2017-2020 Projects List.  The list comprises all of the projects recommended and approved (Local, ITP and MDOT) by the TPSG, Technical and Policy Committees for inclusion in the FY 2017-2020 Transportation Improvement Program.</w:t>
      </w:r>
    </w:p>
    <w:p w:rsidR="0015089F" w:rsidRPr="00B17787" w:rsidRDefault="0015089F" w:rsidP="00DF3DE3">
      <w:pPr>
        <w:widowControl w:val="0"/>
        <w:autoSpaceDE w:val="0"/>
        <w:autoSpaceDN w:val="0"/>
        <w:adjustRightInd w:val="0"/>
        <w:spacing w:after="0" w:line="240" w:lineRule="auto"/>
        <w:rPr>
          <w:rFonts w:ascii="Arial" w:eastAsia="Times New Roman" w:hAnsi="Arial" w:cs="Arial"/>
          <w:sz w:val="24"/>
          <w:szCs w:val="24"/>
        </w:rPr>
      </w:pPr>
      <w:r w:rsidRPr="00B17787">
        <w:rPr>
          <w:rFonts w:ascii="Arial" w:eastAsia="Times New Roman" w:hAnsi="Arial" w:cs="Arial"/>
          <w:sz w:val="24"/>
          <w:szCs w:val="24"/>
        </w:rPr>
        <w:t>Federal regulations require the TIP to be financially constrained by fiscal year. The TIP must demonstrate that there is enough money available each year to fund projects listed in the TIP for the year. The purpose of the table (see Appendix A) is to demonstrate financial constraint.  The table compares estimated revenues and expenditures by funding source and indicates how much revenue total it is estimated will be available each year from federal, state, and local sources.</w:t>
      </w:r>
    </w:p>
    <w:p w:rsidR="0015089F" w:rsidRPr="00B17787" w:rsidRDefault="0015089F" w:rsidP="00DF3DE3">
      <w:pPr>
        <w:widowControl w:val="0"/>
        <w:autoSpaceDE w:val="0"/>
        <w:autoSpaceDN w:val="0"/>
        <w:adjustRightInd w:val="0"/>
        <w:spacing w:after="0" w:line="240" w:lineRule="auto"/>
        <w:rPr>
          <w:rFonts w:ascii="Arial" w:eastAsia="Times New Roman" w:hAnsi="Arial" w:cs="Arial"/>
          <w:sz w:val="24"/>
          <w:szCs w:val="24"/>
        </w:rPr>
      </w:pPr>
    </w:p>
    <w:p w:rsidR="0015089F" w:rsidRPr="00B17787" w:rsidRDefault="0015089F" w:rsidP="00DF3DE3">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sz w:val="24"/>
          <w:szCs w:val="24"/>
        </w:rPr>
      </w:pPr>
      <w:r w:rsidRPr="00B17787">
        <w:rPr>
          <w:rFonts w:ascii="Arial" w:eastAsia="Times New Roman" w:hAnsi="Arial" w:cs="Arial"/>
          <w:sz w:val="24"/>
          <w:szCs w:val="24"/>
        </w:rPr>
        <w:t>In regards to Environmental Justice, GVMC, after consultation with MDOT and the Federal Highway Administration (FHWA) officials, has chosen to address environmental justice by identifying ethnicity, low income, and those areas with concentrations of traditionally underserved populations. Chapter IV further explains how staff accomplished the task of Environmental Justice analysis.</w:t>
      </w:r>
    </w:p>
    <w:p w:rsidR="0015089F" w:rsidRPr="00B17787" w:rsidRDefault="0015089F" w:rsidP="00DF3DE3">
      <w:pPr>
        <w:spacing w:line="240" w:lineRule="auto"/>
        <w:rPr>
          <w:rFonts w:ascii="Arial" w:eastAsia="Times New Roman" w:hAnsi="Arial" w:cs="Arial"/>
          <w:sz w:val="24"/>
          <w:szCs w:val="24"/>
        </w:rPr>
      </w:pPr>
    </w:p>
    <w:p w:rsidR="00265A1B" w:rsidRPr="008E61A9" w:rsidRDefault="00265A1B" w:rsidP="00DF3DE3">
      <w:pPr>
        <w:autoSpaceDE w:val="0"/>
        <w:autoSpaceDN w:val="0"/>
        <w:adjustRightInd w:val="0"/>
        <w:spacing w:after="0" w:line="240" w:lineRule="auto"/>
        <w:rPr>
          <w:rFonts w:ascii="Arial" w:hAnsi="Arial" w:cs="Arial"/>
          <w:b/>
          <w:bCs/>
          <w:sz w:val="28"/>
          <w:szCs w:val="28"/>
        </w:rPr>
      </w:pPr>
      <w:r w:rsidRPr="008E61A9">
        <w:rPr>
          <w:rFonts w:ascii="Arial" w:hAnsi="Arial" w:cs="Arial"/>
          <w:b/>
          <w:bCs/>
          <w:sz w:val="28"/>
          <w:szCs w:val="28"/>
        </w:rPr>
        <w:t>Individual Performance Measure Tracking</w:t>
      </w:r>
    </w:p>
    <w:p w:rsidR="008E61A9" w:rsidRDefault="008E61A9" w:rsidP="00DF3DE3">
      <w:pPr>
        <w:autoSpaceDE w:val="0"/>
        <w:autoSpaceDN w:val="0"/>
        <w:adjustRightInd w:val="0"/>
        <w:spacing w:after="0" w:line="240" w:lineRule="auto"/>
        <w:rPr>
          <w:rFonts w:ascii="Arial" w:hAnsi="Arial" w:cs="Arial"/>
          <w:sz w:val="24"/>
          <w:szCs w:val="24"/>
        </w:rPr>
      </w:pPr>
    </w:p>
    <w:p w:rsidR="00265A1B" w:rsidRPr="00B17787" w:rsidRDefault="00265A1B" w:rsidP="00DF3DE3">
      <w:pPr>
        <w:autoSpaceDE w:val="0"/>
        <w:autoSpaceDN w:val="0"/>
        <w:adjustRightInd w:val="0"/>
        <w:spacing w:after="0" w:line="240" w:lineRule="auto"/>
        <w:rPr>
          <w:rFonts w:ascii="Arial" w:hAnsi="Arial" w:cs="Arial"/>
          <w:sz w:val="24"/>
          <w:szCs w:val="24"/>
        </w:rPr>
      </w:pPr>
      <w:r w:rsidRPr="00B17787">
        <w:rPr>
          <w:rFonts w:ascii="Arial" w:hAnsi="Arial" w:cs="Arial"/>
          <w:sz w:val="24"/>
          <w:szCs w:val="24"/>
        </w:rPr>
        <w:t>At this time, Safety and Transit performance targets have been</w:t>
      </w:r>
      <w:r w:rsidR="008E61A9">
        <w:rPr>
          <w:rFonts w:ascii="Arial" w:hAnsi="Arial" w:cs="Arial"/>
          <w:sz w:val="24"/>
          <w:szCs w:val="24"/>
        </w:rPr>
        <w:t xml:space="preserve"> established. New sections will </w:t>
      </w:r>
      <w:r w:rsidRPr="00B17787">
        <w:rPr>
          <w:rFonts w:ascii="Arial" w:hAnsi="Arial" w:cs="Arial"/>
          <w:sz w:val="24"/>
          <w:szCs w:val="24"/>
        </w:rPr>
        <w:t xml:space="preserve">be added to this document as additional targets are </w:t>
      </w:r>
      <w:r w:rsidR="008E61A9" w:rsidRPr="008A6B99">
        <w:rPr>
          <w:rFonts w:ascii="Arial" w:hAnsi="Arial" w:cs="Arial"/>
          <w:sz w:val="24"/>
          <w:szCs w:val="24"/>
        </w:rPr>
        <w:t>determined</w:t>
      </w:r>
      <w:r w:rsidRPr="008A6B99">
        <w:rPr>
          <w:rFonts w:ascii="Arial" w:hAnsi="Arial" w:cs="Arial"/>
          <w:sz w:val="24"/>
          <w:szCs w:val="24"/>
        </w:rPr>
        <w:t>. G</w:t>
      </w:r>
      <w:r w:rsidR="00E604EE" w:rsidRPr="008A6B99">
        <w:rPr>
          <w:rFonts w:ascii="Arial" w:hAnsi="Arial" w:cs="Arial"/>
          <w:sz w:val="24"/>
          <w:szCs w:val="24"/>
        </w:rPr>
        <w:t>VMC</w:t>
      </w:r>
      <w:r w:rsidRPr="008A6B99">
        <w:rPr>
          <w:rFonts w:ascii="Arial" w:hAnsi="Arial" w:cs="Arial"/>
          <w:sz w:val="24"/>
          <w:szCs w:val="24"/>
        </w:rPr>
        <w:t xml:space="preserve"> </w:t>
      </w:r>
      <w:r w:rsidR="00E604EE" w:rsidRPr="008A6B99">
        <w:rPr>
          <w:rFonts w:ascii="Arial" w:hAnsi="Arial" w:cs="Arial"/>
          <w:sz w:val="24"/>
          <w:szCs w:val="24"/>
        </w:rPr>
        <w:t>will be posting data related to these performance measures on our website.</w:t>
      </w:r>
      <w:r w:rsidR="00E604EE" w:rsidRPr="00B17787">
        <w:rPr>
          <w:rFonts w:ascii="Arial" w:hAnsi="Arial" w:cs="Arial"/>
          <w:sz w:val="24"/>
          <w:szCs w:val="24"/>
        </w:rPr>
        <w:t xml:space="preserve"> </w:t>
      </w:r>
    </w:p>
    <w:p w:rsidR="00265A1B" w:rsidRPr="00B17787" w:rsidRDefault="00265A1B" w:rsidP="00DF3DE3">
      <w:pPr>
        <w:autoSpaceDE w:val="0"/>
        <w:autoSpaceDN w:val="0"/>
        <w:adjustRightInd w:val="0"/>
        <w:spacing w:after="0" w:line="240" w:lineRule="auto"/>
        <w:rPr>
          <w:rFonts w:ascii="Arial" w:hAnsi="Arial" w:cs="Arial"/>
          <w:sz w:val="24"/>
          <w:szCs w:val="24"/>
        </w:rPr>
      </w:pPr>
    </w:p>
    <w:p w:rsidR="00265A1B" w:rsidRPr="00B17787" w:rsidRDefault="00265A1B" w:rsidP="00DF3DE3">
      <w:pPr>
        <w:autoSpaceDE w:val="0"/>
        <w:autoSpaceDN w:val="0"/>
        <w:adjustRightInd w:val="0"/>
        <w:spacing w:after="0" w:line="240" w:lineRule="auto"/>
        <w:rPr>
          <w:rFonts w:ascii="Arial" w:hAnsi="Arial" w:cs="Arial"/>
          <w:b/>
          <w:bCs/>
          <w:sz w:val="24"/>
          <w:szCs w:val="24"/>
        </w:rPr>
      </w:pPr>
      <w:r w:rsidRPr="00B17787">
        <w:rPr>
          <w:rFonts w:ascii="Arial" w:hAnsi="Arial" w:cs="Arial"/>
          <w:b/>
          <w:bCs/>
          <w:sz w:val="24"/>
          <w:szCs w:val="24"/>
        </w:rPr>
        <w:t>Safety Performance</w:t>
      </w:r>
    </w:p>
    <w:p w:rsidR="004B2F52" w:rsidRPr="00B17787" w:rsidRDefault="004B2F52" w:rsidP="00DF3DE3">
      <w:pPr>
        <w:spacing w:line="240" w:lineRule="auto"/>
        <w:rPr>
          <w:rFonts w:ascii="Arial" w:hAnsi="Arial" w:cs="Arial"/>
          <w:sz w:val="24"/>
          <w:szCs w:val="24"/>
        </w:rPr>
      </w:pPr>
      <w:r w:rsidRPr="00B17787">
        <w:rPr>
          <w:rFonts w:ascii="Arial" w:hAnsi="Arial" w:cs="Arial"/>
          <w:sz w:val="24"/>
          <w:szCs w:val="24"/>
        </w:rPr>
        <w:t xml:space="preserve">Federal regulations require the use </w:t>
      </w:r>
      <w:r w:rsidRPr="008A6B99">
        <w:rPr>
          <w:rFonts w:ascii="Arial" w:hAnsi="Arial" w:cs="Arial"/>
          <w:sz w:val="24"/>
          <w:szCs w:val="24"/>
        </w:rPr>
        <w:t xml:space="preserve">of </w:t>
      </w:r>
      <w:r w:rsidR="0040141A" w:rsidRPr="008A6B99">
        <w:rPr>
          <w:rFonts w:ascii="Arial" w:hAnsi="Arial" w:cs="Arial"/>
          <w:sz w:val="24"/>
          <w:szCs w:val="24"/>
        </w:rPr>
        <w:t xml:space="preserve">a </w:t>
      </w:r>
      <w:r w:rsidRPr="008A6B99">
        <w:rPr>
          <w:rFonts w:ascii="Arial" w:hAnsi="Arial" w:cs="Arial"/>
          <w:sz w:val="24"/>
          <w:szCs w:val="24"/>
        </w:rPr>
        <w:t xml:space="preserve">five </w:t>
      </w:r>
      <w:r w:rsidRPr="00B17787">
        <w:rPr>
          <w:rFonts w:ascii="Arial" w:hAnsi="Arial" w:cs="Arial"/>
          <w:sz w:val="24"/>
          <w:szCs w:val="24"/>
        </w:rPr>
        <w:t>year rolling average for each of the five safety performance measures shown below:</w:t>
      </w:r>
    </w:p>
    <w:p w:rsidR="004B2F52" w:rsidRPr="00B17787" w:rsidRDefault="004B2F52" w:rsidP="00DF3DE3">
      <w:pPr>
        <w:pStyle w:val="ListParagraph"/>
        <w:numPr>
          <w:ilvl w:val="0"/>
          <w:numId w:val="4"/>
        </w:numPr>
        <w:spacing w:line="240" w:lineRule="auto"/>
        <w:rPr>
          <w:rFonts w:ascii="Arial" w:hAnsi="Arial" w:cs="Arial"/>
          <w:sz w:val="24"/>
          <w:szCs w:val="24"/>
        </w:rPr>
      </w:pPr>
      <w:r w:rsidRPr="00B17787">
        <w:rPr>
          <w:rFonts w:ascii="Arial" w:hAnsi="Arial" w:cs="Arial"/>
          <w:sz w:val="24"/>
          <w:szCs w:val="24"/>
        </w:rPr>
        <w:t>Number of fatalities</w:t>
      </w:r>
    </w:p>
    <w:p w:rsidR="004B2F52" w:rsidRPr="00B17787" w:rsidRDefault="004B2F52" w:rsidP="00DF3DE3">
      <w:pPr>
        <w:pStyle w:val="ListParagraph"/>
        <w:numPr>
          <w:ilvl w:val="0"/>
          <w:numId w:val="4"/>
        </w:numPr>
        <w:spacing w:line="240" w:lineRule="auto"/>
        <w:rPr>
          <w:rFonts w:ascii="Arial" w:hAnsi="Arial" w:cs="Arial"/>
          <w:sz w:val="24"/>
          <w:szCs w:val="24"/>
        </w:rPr>
      </w:pPr>
      <w:r w:rsidRPr="00B17787">
        <w:rPr>
          <w:rFonts w:ascii="Arial" w:hAnsi="Arial" w:cs="Arial"/>
          <w:sz w:val="24"/>
          <w:szCs w:val="24"/>
        </w:rPr>
        <w:t>Rate of fatalities per 100 million VMT</w:t>
      </w:r>
    </w:p>
    <w:p w:rsidR="004B2F52" w:rsidRPr="00B17787" w:rsidRDefault="004B2F52" w:rsidP="00DF3DE3">
      <w:pPr>
        <w:pStyle w:val="ListParagraph"/>
        <w:numPr>
          <w:ilvl w:val="0"/>
          <w:numId w:val="4"/>
        </w:numPr>
        <w:spacing w:line="240" w:lineRule="auto"/>
        <w:rPr>
          <w:rFonts w:ascii="Arial" w:hAnsi="Arial" w:cs="Arial"/>
          <w:sz w:val="24"/>
          <w:szCs w:val="24"/>
        </w:rPr>
      </w:pPr>
      <w:r w:rsidRPr="00B17787">
        <w:rPr>
          <w:rFonts w:ascii="Arial" w:hAnsi="Arial" w:cs="Arial"/>
          <w:sz w:val="24"/>
          <w:szCs w:val="24"/>
        </w:rPr>
        <w:t>Number of Serious Injuries</w:t>
      </w:r>
    </w:p>
    <w:p w:rsidR="004B2F52" w:rsidRPr="00B17787" w:rsidRDefault="004B2F52" w:rsidP="00DF3DE3">
      <w:pPr>
        <w:pStyle w:val="ListParagraph"/>
        <w:numPr>
          <w:ilvl w:val="0"/>
          <w:numId w:val="4"/>
        </w:numPr>
        <w:spacing w:line="240" w:lineRule="auto"/>
        <w:rPr>
          <w:rFonts w:ascii="Arial" w:hAnsi="Arial" w:cs="Arial"/>
          <w:sz w:val="24"/>
          <w:szCs w:val="24"/>
        </w:rPr>
      </w:pPr>
      <w:r w:rsidRPr="00B17787">
        <w:rPr>
          <w:rFonts w:ascii="Arial" w:hAnsi="Arial" w:cs="Arial"/>
          <w:sz w:val="24"/>
          <w:szCs w:val="24"/>
        </w:rPr>
        <w:t>Rate of Serious Injuries per 100 million VMT</w:t>
      </w:r>
    </w:p>
    <w:p w:rsidR="004B2F52" w:rsidRPr="00B17787" w:rsidRDefault="004B2F52" w:rsidP="00DF3DE3">
      <w:pPr>
        <w:pStyle w:val="ListParagraph"/>
        <w:numPr>
          <w:ilvl w:val="0"/>
          <w:numId w:val="4"/>
        </w:numPr>
        <w:spacing w:line="240" w:lineRule="auto"/>
        <w:rPr>
          <w:rFonts w:ascii="Arial" w:hAnsi="Arial" w:cs="Arial"/>
          <w:sz w:val="24"/>
          <w:szCs w:val="24"/>
        </w:rPr>
      </w:pPr>
      <w:r w:rsidRPr="00B17787">
        <w:rPr>
          <w:rFonts w:ascii="Arial" w:hAnsi="Arial" w:cs="Arial"/>
          <w:sz w:val="24"/>
          <w:szCs w:val="24"/>
        </w:rPr>
        <w:t>Number of Non-motorized Fatalities and Non-motorized Serious Injuries</w:t>
      </w:r>
    </w:p>
    <w:p w:rsidR="004B2F52" w:rsidRPr="00B17787" w:rsidRDefault="004B2F52" w:rsidP="00DF3DE3">
      <w:pPr>
        <w:spacing w:line="240" w:lineRule="auto"/>
        <w:rPr>
          <w:rFonts w:ascii="Arial" w:hAnsi="Arial" w:cs="Arial"/>
          <w:sz w:val="24"/>
          <w:szCs w:val="24"/>
        </w:rPr>
      </w:pPr>
      <w:r w:rsidRPr="00B17787">
        <w:rPr>
          <w:rFonts w:ascii="Arial" w:hAnsi="Arial" w:cs="Arial"/>
          <w:sz w:val="24"/>
          <w:szCs w:val="24"/>
        </w:rPr>
        <w:t xml:space="preserve">MPOs </w:t>
      </w:r>
      <w:r w:rsidR="001C363C" w:rsidRPr="00B17787">
        <w:rPr>
          <w:rFonts w:ascii="Arial" w:hAnsi="Arial" w:cs="Arial"/>
          <w:sz w:val="24"/>
          <w:szCs w:val="24"/>
        </w:rPr>
        <w:t>were</w:t>
      </w:r>
      <w:r w:rsidRPr="00B17787">
        <w:rPr>
          <w:rFonts w:ascii="Arial" w:hAnsi="Arial" w:cs="Arial"/>
          <w:sz w:val="24"/>
          <w:szCs w:val="24"/>
        </w:rPr>
        <w:t xml:space="preserve"> required to establish safety targets by either</w:t>
      </w:r>
    </w:p>
    <w:p w:rsidR="004B2F52" w:rsidRPr="00B17787" w:rsidRDefault="004B2F52" w:rsidP="00DF3DE3">
      <w:pPr>
        <w:pStyle w:val="ListParagraph"/>
        <w:numPr>
          <w:ilvl w:val="0"/>
          <w:numId w:val="6"/>
        </w:numPr>
        <w:spacing w:line="240" w:lineRule="auto"/>
        <w:rPr>
          <w:rFonts w:ascii="Arial" w:hAnsi="Arial" w:cs="Arial"/>
          <w:sz w:val="24"/>
          <w:szCs w:val="24"/>
        </w:rPr>
      </w:pPr>
      <w:r w:rsidRPr="00B17787">
        <w:rPr>
          <w:rFonts w:ascii="Arial" w:hAnsi="Arial" w:cs="Arial"/>
          <w:sz w:val="24"/>
          <w:szCs w:val="24"/>
        </w:rPr>
        <w:t>Agreeing to plan and program projects so that they contribute to the accomplishment of the State DOT safety targets for the performance measures; or</w:t>
      </w:r>
    </w:p>
    <w:p w:rsidR="004B2F52" w:rsidRPr="00B17787" w:rsidRDefault="004B2F52" w:rsidP="00DF3DE3">
      <w:pPr>
        <w:pStyle w:val="ListParagraph"/>
        <w:numPr>
          <w:ilvl w:val="0"/>
          <w:numId w:val="6"/>
        </w:numPr>
        <w:spacing w:line="240" w:lineRule="auto"/>
        <w:rPr>
          <w:rFonts w:ascii="Arial" w:hAnsi="Arial" w:cs="Arial"/>
          <w:sz w:val="24"/>
          <w:szCs w:val="24"/>
        </w:rPr>
      </w:pPr>
      <w:r w:rsidRPr="00B17787">
        <w:rPr>
          <w:rFonts w:ascii="Arial" w:hAnsi="Arial" w:cs="Arial"/>
          <w:sz w:val="24"/>
          <w:szCs w:val="24"/>
        </w:rPr>
        <w:t>Committing to a quantifiable target for the performance measures for their metropolitan planning area</w:t>
      </w:r>
    </w:p>
    <w:p w:rsidR="001C363C" w:rsidRPr="00B17787" w:rsidRDefault="004B2F52" w:rsidP="00DF3DE3">
      <w:pPr>
        <w:spacing w:line="240" w:lineRule="auto"/>
        <w:rPr>
          <w:rFonts w:ascii="Arial" w:hAnsi="Arial" w:cs="Arial"/>
          <w:sz w:val="24"/>
          <w:szCs w:val="24"/>
        </w:rPr>
      </w:pPr>
      <w:r w:rsidRPr="00B17787">
        <w:rPr>
          <w:rFonts w:ascii="Arial" w:hAnsi="Arial" w:cs="Arial"/>
          <w:sz w:val="24"/>
          <w:szCs w:val="24"/>
        </w:rPr>
        <w:t>MPOs are required to establish targets no later than 180 days after the state DOT established the state safety targets. MDOT published its safety targets on August 31, 2017</w:t>
      </w:r>
      <w:r w:rsidR="001C363C" w:rsidRPr="00B17787">
        <w:rPr>
          <w:rFonts w:ascii="Arial" w:hAnsi="Arial" w:cs="Arial"/>
          <w:sz w:val="24"/>
          <w:szCs w:val="24"/>
        </w:rPr>
        <w:t xml:space="preserve">, included below: </w:t>
      </w:r>
      <w:r w:rsidRPr="00B17787">
        <w:rPr>
          <w:rFonts w:ascii="Arial" w:hAnsi="Arial" w:cs="Arial"/>
          <w:sz w:val="24"/>
          <w:szCs w:val="24"/>
        </w:rPr>
        <w:t xml:space="preserve"> </w:t>
      </w:r>
    </w:p>
    <w:p w:rsidR="001C363C" w:rsidRPr="00B17787" w:rsidRDefault="001C363C" w:rsidP="00DF3DE3">
      <w:pPr>
        <w:autoSpaceDE w:val="0"/>
        <w:autoSpaceDN w:val="0"/>
        <w:adjustRightInd w:val="0"/>
        <w:spacing w:after="0" w:line="240" w:lineRule="auto"/>
        <w:rPr>
          <w:rFonts w:ascii="Arial" w:hAnsi="Arial" w:cs="Arial"/>
          <w:b/>
          <w:sz w:val="24"/>
          <w:szCs w:val="24"/>
        </w:rPr>
      </w:pPr>
      <w:r w:rsidRPr="00B17787">
        <w:rPr>
          <w:rFonts w:ascii="Arial" w:hAnsi="Arial" w:cs="Arial"/>
          <w:b/>
          <w:bCs/>
          <w:sz w:val="24"/>
          <w:szCs w:val="24"/>
        </w:rPr>
        <w:t>Michigan Safety Targets for 2018</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54"/>
        <w:gridCol w:w="3154"/>
        <w:gridCol w:w="3154"/>
      </w:tblGrid>
      <w:tr w:rsidR="001C363C" w:rsidRPr="00B17787" w:rsidTr="006D6A17">
        <w:trPr>
          <w:trHeight w:val="947"/>
        </w:trPr>
        <w:tc>
          <w:tcPr>
            <w:tcW w:w="3154" w:type="dxa"/>
            <w:shd w:val="clear" w:color="auto" w:fill="95B3D7" w:themeFill="accent1" w:themeFillTint="99"/>
          </w:tcPr>
          <w:p w:rsidR="001C363C" w:rsidRPr="00B17787" w:rsidRDefault="001C363C" w:rsidP="00DF3DE3">
            <w:pPr>
              <w:rPr>
                <w:rFonts w:ascii="Arial" w:eastAsia="Calibri" w:hAnsi="Arial" w:cs="Arial"/>
                <w:b/>
                <w:sz w:val="24"/>
                <w:szCs w:val="24"/>
              </w:rPr>
            </w:pPr>
            <w:r w:rsidRPr="00B17787">
              <w:rPr>
                <w:rFonts w:ascii="Arial" w:eastAsia="Calibri" w:hAnsi="Arial" w:cs="Arial"/>
                <w:b/>
                <w:sz w:val="24"/>
                <w:szCs w:val="24"/>
              </w:rPr>
              <w:t>Safety Performance Measure</w:t>
            </w:r>
          </w:p>
        </w:tc>
        <w:tc>
          <w:tcPr>
            <w:tcW w:w="3154" w:type="dxa"/>
            <w:shd w:val="clear" w:color="auto" w:fill="95B3D7" w:themeFill="accent1" w:themeFillTint="99"/>
          </w:tcPr>
          <w:p w:rsidR="001C363C" w:rsidRPr="00B17787" w:rsidRDefault="001C363C" w:rsidP="00DF3DE3">
            <w:pPr>
              <w:rPr>
                <w:rFonts w:ascii="Arial" w:eastAsia="Calibri" w:hAnsi="Arial" w:cs="Arial"/>
                <w:b/>
                <w:sz w:val="24"/>
                <w:szCs w:val="24"/>
              </w:rPr>
            </w:pPr>
            <w:r w:rsidRPr="00B17787">
              <w:rPr>
                <w:rFonts w:ascii="Arial" w:eastAsia="Calibri" w:hAnsi="Arial" w:cs="Arial"/>
                <w:b/>
                <w:sz w:val="24"/>
                <w:szCs w:val="24"/>
              </w:rPr>
              <w:t>Baseline Through 2016</w:t>
            </w:r>
          </w:p>
        </w:tc>
        <w:tc>
          <w:tcPr>
            <w:tcW w:w="3154" w:type="dxa"/>
            <w:shd w:val="clear" w:color="auto" w:fill="95B3D7" w:themeFill="accent1" w:themeFillTint="99"/>
          </w:tcPr>
          <w:p w:rsidR="001C363C" w:rsidRPr="00B17787" w:rsidRDefault="001C363C" w:rsidP="00DF3DE3">
            <w:pPr>
              <w:rPr>
                <w:rFonts w:ascii="Arial" w:eastAsia="Calibri" w:hAnsi="Arial" w:cs="Arial"/>
                <w:b/>
                <w:sz w:val="24"/>
                <w:szCs w:val="24"/>
              </w:rPr>
            </w:pPr>
            <w:r w:rsidRPr="00B17787">
              <w:rPr>
                <w:rFonts w:ascii="Arial" w:eastAsia="Calibri" w:hAnsi="Arial" w:cs="Arial"/>
                <w:b/>
                <w:sz w:val="24"/>
                <w:szCs w:val="24"/>
              </w:rPr>
              <w:t>2018 State Safety Target</w:t>
            </w:r>
          </w:p>
        </w:tc>
      </w:tr>
      <w:tr w:rsidR="001C363C" w:rsidRPr="00B17787" w:rsidTr="006D6A17">
        <w:trPr>
          <w:trHeight w:val="330"/>
        </w:trPr>
        <w:tc>
          <w:tcPr>
            <w:tcW w:w="3154" w:type="dxa"/>
          </w:tcPr>
          <w:p w:rsidR="001C363C" w:rsidRPr="00B17787" w:rsidRDefault="001C363C" w:rsidP="00DF3DE3">
            <w:pPr>
              <w:rPr>
                <w:rFonts w:ascii="Arial" w:eastAsia="Calibri" w:hAnsi="Arial" w:cs="Arial"/>
                <w:b/>
                <w:sz w:val="24"/>
                <w:szCs w:val="24"/>
              </w:rPr>
            </w:pPr>
            <w:r w:rsidRPr="00B17787">
              <w:rPr>
                <w:rFonts w:ascii="Arial" w:eastAsia="Calibri" w:hAnsi="Arial" w:cs="Arial"/>
                <w:b/>
                <w:sz w:val="24"/>
                <w:szCs w:val="24"/>
              </w:rPr>
              <w:t>Fatalities</w:t>
            </w:r>
          </w:p>
        </w:tc>
        <w:tc>
          <w:tcPr>
            <w:tcW w:w="3154" w:type="dxa"/>
          </w:tcPr>
          <w:p w:rsidR="001C363C" w:rsidRPr="00B17787" w:rsidRDefault="001C363C" w:rsidP="00DF3DE3">
            <w:pPr>
              <w:rPr>
                <w:rFonts w:ascii="Arial" w:eastAsia="Calibri" w:hAnsi="Arial" w:cs="Arial"/>
                <w:sz w:val="24"/>
                <w:szCs w:val="24"/>
              </w:rPr>
            </w:pPr>
            <w:r w:rsidRPr="00B17787">
              <w:rPr>
                <w:rFonts w:ascii="Arial" w:eastAsia="Calibri" w:hAnsi="Arial" w:cs="Arial"/>
                <w:sz w:val="24"/>
                <w:szCs w:val="24"/>
              </w:rPr>
              <w:t>963.0</w:t>
            </w:r>
          </w:p>
        </w:tc>
        <w:tc>
          <w:tcPr>
            <w:tcW w:w="3154" w:type="dxa"/>
          </w:tcPr>
          <w:p w:rsidR="001C363C" w:rsidRPr="00B17787" w:rsidRDefault="001C363C" w:rsidP="00DF3DE3">
            <w:pPr>
              <w:rPr>
                <w:rFonts w:ascii="Arial" w:eastAsia="Calibri" w:hAnsi="Arial" w:cs="Arial"/>
                <w:sz w:val="24"/>
                <w:szCs w:val="24"/>
              </w:rPr>
            </w:pPr>
            <w:r w:rsidRPr="00B17787">
              <w:rPr>
                <w:rFonts w:ascii="Arial" w:eastAsia="Calibri" w:hAnsi="Arial" w:cs="Arial"/>
                <w:sz w:val="24"/>
                <w:szCs w:val="24"/>
              </w:rPr>
              <w:t>1,003.2</w:t>
            </w:r>
          </w:p>
        </w:tc>
      </w:tr>
      <w:tr w:rsidR="001C363C" w:rsidRPr="00B17787" w:rsidTr="006D6A17">
        <w:trPr>
          <w:trHeight w:val="330"/>
        </w:trPr>
        <w:tc>
          <w:tcPr>
            <w:tcW w:w="3154" w:type="dxa"/>
          </w:tcPr>
          <w:p w:rsidR="001C363C" w:rsidRPr="00B17787" w:rsidRDefault="001C363C" w:rsidP="00DF3DE3">
            <w:pPr>
              <w:rPr>
                <w:rFonts w:ascii="Arial" w:eastAsia="Calibri" w:hAnsi="Arial" w:cs="Arial"/>
                <w:b/>
                <w:sz w:val="24"/>
                <w:szCs w:val="24"/>
              </w:rPr>
            </w:pPr>
            <w:r w:rsidRPr="00B17787">
              <w:rPr>
                <w:rFonts w:ascii="Arial" w:eastAsia="Calibri" w:hAnsi="Arial" w:cs="Arial"/>
                <w:b/>
                <w:sz w:val="24"/>
                <w:szCs w:val="24"/>
              </w:rPr>
              <w:t>Fatality Rate (per 100 million VMT)</w:t>
            </w:r>
          </w:p>
        </w:tc>
        <w:tc>
          <w:tcPr>
            <w:tcW w:w="3154" w:type="dxa"/>
          </w:tcPr>
          <w:p w:rsidR="001C363C" w:rsidRPr="00B17787" w:rsidRDefault="001C363C" w:rsidP="00DF3DE3">
            <w:pPr>
              <w:rPr>
                <w:rFonts w:ascii="Arial" w:eastAsia="Calibri" w:hAnsi="Arial" w:cs="Arial"/>
                <w:sz w:val="24"/>
                <w:szCs w:val="24"/>
              </w:rPr>
            </w:pPr>
            <w:r w:rsidRPr="00B17787">
              <w:rPr>
                <w:rFonts w:ascii="Arial" w:eastAsia="Calibri" w:hAnsi="Arial" w:cs="Arial"/>
                <w:sz w:val="24"/>
                <w:szCs w:val="24"/>
              </w:rPr>
              <w:t>1.00</w:t>
            </w:r>
          </w:p>
        </w:tc>
        <w:tc>
          <w:tcPr>
            <w:tcW w:w="3154" w:type="dxa"/>
          </w:tcPr>
          <w:p w:rsidR="001C363C" w:rsidRPr="00B17787" w:rsidRDefault="001C363C" w:rsidP="00DF3DE3">
            <w:pPr>
              <w:rPr>
                <w:rFonts w:ascii="Arial" w:eastAsia="Calibri" w:hAnsi="Arial" w:cs="Arial"/>
                <w:sz w:val="24"/>
                <w:szCs w:val="24"/>
              </w:rPr>
            </w:pPr>
            <w:r w:rsidRPr="00B17787">
              <w:rPr>
                <w:rFonts w:ascii="Arial" w:eastAsia="Calibri" w:hAnsi="Arial" w:cs="Arial"/>
                <w:sz w:val="24"/>
                <w:szCs w:val="24"/>
              </w:rPr>
              <w:t>1.02</w:t>
            </w:r>
          </w:p>
        </w:tc>
      </w:tr>
      <w:tr w:rsidR="001C363C" w:rsidRPr="00B17787" w:rsidTr="006D6A17">
        <w:trPr>
          <w:trHeight w:val="330"/>
        </w:trPr>
        <w:tc>
          <w:tcPr>
            <w:tcW w:w="3154" w:type="dxa"/>
          </w:tcPr>
          <w:p w:rsidR="001C363C" w:rsidRPr="00B17787" w:rsidRDefault="001C363C" w:rsidP="00DF3DE3">
            <w:pPr>
              <w:rPr>
                <w:rFonts w:ascii="Arial" w:eastAsia="Calibri" w:hAnsi="Arial" w:cs="Arial"/>
                <w:b/>
                <w:sz w:val="24"/>
                <w:szCs w:val="24"/>
              </w:rPr>
            </w:pPr>
            <w:r w:rsidRPr="00B17787">
              <w:rPr>
                <w:rFonts w:ascii="Arial" w:eastAsia="Calibri" w:hAnsi="Arial" w:cs="Arial"/>
                <w:b/>
                <w:sz w:val="24"/>
                <w:szCs w:val="24"/>
              </w:rPr>
              <w:t>Serious Injuries</w:t>
            </w:r>
          </w:p>
        </w:tc>
        <w:tc>
          <w:tcPr>
            <w:tcW w:w="3154" w:type="dxa"/>
          </w:tcPr>
          <w:p w:rsidR="001C363C" w:rsidRPr="00B17787" w:rsidRDefault="001C363C" w:rsidP="00DF3DE3">
            <w:pPr>
              <w:rPr>
                <w:rFonts w:ascii="Arial" w:eastAsia="Calibri" w:hAnsi="Arial" w:cs="Arial"/>
                <w:sz w:val="24"/>
                <w:szCs w:val="24"/>
              </w:rPr>
            </w:pPr>
            <w:r w:rsidRPr="00B17787">
              <w:rPr>
                <w:rFonts w:ascii="Arial" w:eastAsia="Calibri" w:hAnsi="Arial" w:cs="Arial"/>
                <w:sz w:val="24"/>
                <w:szCs w:val="24"/>
              </w:rPr>
              <w:t>5,273.4</w:t>
            </w:r>
          </w:p>
        </w:tc>
        <w:tc>
          <w:tcPr>
            <w:tcW w:w="3154" w:type="dxa"/>
          </w:tcPr>
          <w:p w:rsidR="001C363C" w:rsidRPr="00B17787" w:rsidRDefault="001C363C" w:rsidP="00DF3DE3">
            <w:pPr>
              <w:rPr>
                <w:rFonts w:ascii="Arial" w:eastAsia="Calibri" w:hAnsi="Arial" w:cs="Arial"/>
                <w:sz w:val="24"/>
                <w:szCs w:val="24"/>
              </w:rPr>
            </w:pPr>
            <w:r w:rsidRPr="00B17787">
              <w:rPr>
                <w:rFonts w:ascii="Arial" w:eastAsia="Calibri" w:hAnsi="Arial" w:cs="Arial"/>
                <w:sz w:val="24"/>
                <w:szCs w:val="24"/>
              </w:rPr>
              <w:t>5,136.4</w:t>
            </w:r>
          </w:p>
        </w:tc>
      </w:tr>
      <w:tr w:rsidR="001C363C" w:rsidRPr="00B17787" w:rsidTr="006D6A17">
        <w:trPr>
          <w:trHeight w:val="330"/>
        </w:trPr>
        <w:tc>
          <w:tcPr>
            <w:tcW w:w="3154" w:type="dxa"/>
          </w:tcPr>
          <w:p w:rsidR="001C363C" w:rsidRPr="00B17787" w:rsidRDefault="001C363C" w:rsidP="00DF3DE3">
            <w:pPr>
              <w:rPr>
                <w:rFonts w:ascii="Arial" w:eastAsia="Calibri" w:hAnsi="Arial" w:cs="Arial"/>
                <w:b/>
                <w:sz w:val="24"/>
                <w:szCs w:val="24"/>
              </w:rPr>
            </w:pPr>
            <w:r w:rsidRPr="00B17787">
              <w:rPr>
                <w:rFonts w:ascii="Arial" w:eastAsia="Calibri" w:hAnsi="Arial" w:cs="Arial"/>
                <w:b/>
                <w:sz w:val="24"/>
                <w:szCs w:val="24"/>
              </w:rPr>
              <w:t>Serious Injury Rate (per 100 million VMT)</w:t>
            </w:r>
          </w:p>
        </w:tc>
        <w:tc>
          <w:tcPr>
            <w:tcW w:w="3154" w:type="dxa"/>
          </w:tcPr>
          <w:p w:rsidR="001C363C" w:rsidRPr="00B17787" w:rsidRDefault="001C363C" w:rsidP="00DF3DE3">
            <w:pPr>
              <w:rPr>
                <w:rFonts w:ascii="Arial" w:eastAsia="Calibri" w:hAnsi="Arial" w:cs="Arial"/>
                <w:sz w:val="24"/>
                <w:szCs w:val="24"/>
              </w:rPr>
            </w:pPr>
            <w:r w:rsidRPr="00B17787">
              <w:rPr>
                <w:rFonts w:ascii="Arial" w:eastAsia="Calibri" w:hAnsi="Arial" w:cs="Arial"/>
                <w:sz w:val="24"/>
                <w:szCs w:val="24"/>
              </w:rPr>
              <w:t>5.47</w:t>
            </w:r>
          </w:p>
        </w:tc>
        <w:tc>
          <w:tcPr>
            <w:tcW w:w="3154" w:type="dxa"/>
          </w:tcPr>
          <w:p w:rsidR="001C363C" w:rsidRPr="00B17787" w:rsidRDefault="001C363C" w:rsidP="00DF3DE3">
            <w:pPr>
              <w:rPr>
                <w:rFonts w:ascii="Arial" w:eastAsia="Calibri" w:hAnsi="Arial" w:cs="Arial"/>
                <w:sz w:val="24"/>
                <w:szCs w:val="24"/>
              </w:rPr>
            </w:pPr>
            <w:r w:rsidRPr="00B17787">
              <w:rPr>
                <w:rFonts w:ascii="Arial" w:eastAsia="Calibri" w:hAnsi="Arial" w:cs="Arial"/>
                <w:sz w:val="24"/>
                <w:szCs w:val="24"/>
              </w:rPr>
              <w:t>5.23</w:t>
            </w:r>
          </w:p>
        </w:tc>
      </w:tr>
      <w:tr w:rsidR="001C363C" w:rsidRPr="00B17787" w:rsidTr="006D6A17">
        <w:trPr>
          <w:trHeight w:val="330"/>
        </w:trPr>
        <w:tc>
          <w:tcPr>
            <w:tcW w:w="3154" w:type="dxa"/>
          </w:tcPr>
          <w:p w:rsidR="001C363C" w:rsidRPr="00B17787" w:rsidRDefault="001C363C" w:rsidP="00DF3DE3">
            <w:pPr>
              <w:rPr>
                <w:rFonts w:ascii="Arial" w:eastAsia="Calibri" w:hAnsi="Arial" w:cs="Arial"/>
                <w:b/>
                <w:sz w:val="24"/>
                <w:szCs w:val="24"/>
              </w:rPr>
            </w:pPr>
            <w:r w:rsidRPr="00B17787">
              <w:rPr>
                <w:rFonts w:ascii="Arial" w:eastAsia="Calibri" w:hAnsi="Arial" w:cs="Arial"/>
                <w:b/>
                <w:sz w:val="24"/>
                <w:szCs w:val="24"/>
              </w:rPr>
              <w:t>Non-Motorized Fatalities and Serious Injuries</w:t>
            </w:r>
          </w:p>
        </w:tc>
        <w:tc>
          <w:tcPr>
            <w:tcW w:w="3154" w:type="dxa"/>
          </w:tcPr>
          <w:p w:rsidR="001C363C" w:rsidRPr="00B17787" w:rsidRDefault="001C363C" w:rsidP="00DF3DE3">
            <w:pPr>
              <w:rPr>
                <w:rFonts w:ascii="Arial" w:eastAsia="Calibri" w:hAnsi="Arial" w:cs="Arial"/>
                <w:sz w:val="24"/>
                <w:szCs w:val="24"/>
              </w:rPr>
            </w:pPr>
            <w:r w:rsidRPr="00B17787">
              <w:rPr>
                <w:rFonts w:ascii="Arial" w:eastAsia="Calibri" w:hAnsi="Arial" w:cs="Arial"/>
                <w:sz w:val="24"/>
                <w:szCs w:val="24"/>
              </w:rPr>
              <w:t>721.8</w:t>
            </w:r>
          </w:p>
        </w:tc>
        <w:tc>
          <w:tcPr>
            <w:tcW w:w="3154" w:type="dxa"/>
          </w:tcPr>
          <w:p w:rsidR="001C363C" w:rsidRPr="00B17787" w:rsidRDefault="001C363C" w:rsidP="00DF3DE3">
            <w:pPr>
              <w:rPr>
                <w:rFonts w:ascii="Arial" w:eastAsia="Calibri" w:hAnsi="Arial" w:cs="Arial"/>
                <w:sz w:val="24"/>
                <w:szCs w:val="24"/>
              </w:rPr>
            </w:pPr>
            <w:r w:rsidRPr="00B17787">
              <w:rPr>
                <w:rFonts w:ascii="Arial" w:eastAsia="Calibri" w:hAnsi="Arial" w:cs="Arial"/>
                <w:sz w:val="24"/>
                <w:szCs w:val="24"/>
              </w:rPr>
              <w:t>743.6</w:t>
            </w:r>
          </w:p>
        </w:tc>
      </w:tr>
    </w:tbl>
    <w:p w:rsidR="001C363C" w:rsidRPr="00B17787" w:rsidRDefault="001C363C" w:rsidP="00DF3DE3">
      <w:pPr>
        <w:spacing w:line="240" w:lineRule="auto"/>
        <w:rPr>
          <w:rFonts w:ascii="Arial" w:eastAsia="Calibri" w:hAnsi="Arial" w:cs="Arial"/>
          <w:sz w:val="24"/>
          <w:szCs w:val="24"/>
        </w:rPr>
      </w:pPr>
    </w:p>
    <w:p w:rsidR="00E604EE" w:rsidRPr="00B17787" w:rsidRDefault="004B2F52" w:rsidP="00DF3DE3">
      <w:pPr>
        <w:autoSpaceDE w:val="0"/>
        <w:autoSpaceDN w:val="0"/>
        <w:adjustRightInd w:val="0"/>
        <w:spacing w:after="0" w:line="240" w:lineRule="auto"/>
        <w:rPr>
          <w:rFonts w:ascii="Arial" w:hAnsi="Arial" w:cs="Arial"/>
          <w:sz w:val="24"/>
          <w:szCs w:val="24"/>
        </w:rPr>
      </w:pPr>
      <w:r w:rsidRPr="00B17787">
        <w:rPr>
          <w:rFonts w:ascii="Arial" w:hAnsi="Arial" w:cs="Arial"/>
          <w:sz w:val="24"/>
          <w:szCs w:val="24"/>
        </w:rPr>
        <w:t>GVMC completed an analysis of crash data in our are</w:t>
      </w:r>
      <w:r w:rsidR="001C363C" w:rsidRPr="00B17787">
        <w:rPr>
          <w:rFonts w:ascii="Arial" w:hAnsi="Arial" w:cs="Arial"/>
          <w:sz w:val="24"/>
          <w:szCs w:val="24"/>
        </w:rPr>
        <w:t xml:space="preserve">a, some of which is included on </w:t>
      </w:r>
      <w:r w:rsidR="001C363C" w:rsidRPr="002D1A77">
        <w:rPr>
          <w:rFonts w:ascii="Arial" w:hAnsi="Arial" w:cs="Arial"/>
          <w:sz w:val="24"/>
          <w:szCs w:val="24"/>
        </w:rPr>
        <w:t xml:space="preserve">(page </w:t>
      </w:r>
      <w:r w:rsidR="002D1A77" w:rsidRPr="002D1A77">
        <w:rPr>
          <w:rFonts w:ascii="Arial" w:hAnsi="Arial" w:cs="Arial"/>
          <w:sz w:val="24"/>
          <w:szCs w:val="24"/>
        </w:rPr>
        <w:t>TBD),</w:t>
      </w:r>
      <w:r w:rsidR="002D1A77" w:rsidRPr="00B17787">
        <w:rPr>
          <w:rFonts w:ascii="Arial" w:hAnsi="Arial" w:cs="Arial"/>
          <w:sz w:val="24"/>
          <w:szCs w:val="24"/>
        </w:rPr>
        <w:t xml:space="preserve"> </w:t>
      </w:r>
      <w:r w:rsidR="00193500">
        <w:rPr>
          <w:rFonts w:ascii="Arial" w:hAnsi="Arial" w:cs="Arial"/>
          <w:sz w:val="24"/>
          <w:szCs w:val="24"/>
        </w:rPr>
        <w:t xml:space="preserve">and </w:t>
      </w:r>
      <w:r w:rsidRPr="00B17787">
        <w:rPr>
          <w:rFonts w:ascii="Arial" w:hAnsi="Arial" w:cs="Arial"/>
          <w:sz w:val="24"/>
          <w:szCs w:val="24"/>
        </w:rPr>
        <w:t xml:space="preserve">brought this item and the corresponding data to our  Transportation Programming Study Group (TPSG) Committee on December 6, 2017, </w:t>
      </w:r>
      <w:r w:rsidR="001C363C" w:rsidRPr="00B17787">
        <w:rPr>
          <w:rFonts w:ascii="Arial" w:hAnsi="Arial" w:cs="Arial"/>
          <w:sz w:val="24"/>
          <w:szCs w:val="24"/>
        </w:rPr>
        <w:t>in order to determine whether to support the state’s targets or to create our own</w:t>
      </w:r>
      <w:r w:rsidRPr="00B17787">
        <w:rPr>
          <w:rFonts w:ascii="Arial" w:hAnsi="Arial" w:cs="Arial"/>
          <w:sz w:val="24"/>
          <w:szCs w:val="24"/>
        </w:rPr>
        <w:t xml:space="preserve">. After reviewing the </w:t>
      </w:r>
      <w:r w:rsidR="001C363C" w:rsidRPr="00B17787">
        <w:rPr>
          <w:rFonts w:ascii="Arial" w:hAnsi="Arial" w:cs="Arial"/>
          <w:sz w:val="24"/>
          <w:szCs w:val="24"/>
        </w:rPr>
        <w:t xml:space="preserve">crash trend </w:t>
      </w:r>
      <w:r w:rsidRPr="00B17787">
        <w:rPr>
          <w:rFonts w:ascii="Arial" w:hAnsi="Arial" w:cs="Arial"/>
          <w:sz w:val="24"/>
          <w:szCs w:val="24"/>
        </w:rPr>
        <w:t xml:space="preserve">data, </w:t>
      </w:r>
      <w:r w:rsidR="001C363C" w:rsidRPr="00B17787">
        <w:rPr>
          <w:rFonts w:ascii="Arial" w:hAnsi="Arial" w:cs="Arial"/>
          <w:sz w:val="24"/>
          <w:szCs w:val="24"/>
        </w:rPr>
        <w:t xml:space="preserve">travel volumes, and economic data, the TPSG Committee </w:t>
      </w:r>
      <w:r w:rsidR="00E604EE" w:rsidRPr="00B17787">
        <w:rPr>
          <w:rFonts w:ascii="Arial" w:hAnsi="Arial" w:cs="Arial"/>
          <w:sz w:val="24"/>
          <w:szCs w:val="24"/>
        </w:rPr>
        <w:t xml:space="preserve">opted to support the statewide </w:t>
      </w:r>
      <w:r w:rsidR="00265A1B" w:rsidRPr="00B17787">
        <w:rPr>
          <w:rFonts w:ascii="Arial" w:hAnsi="Arial" w:cs="Arial"/>
          <w:sz w:val="24"/>
          <w:szCs w:val="24"/>
        </w:rPr>
        <w:t>targets, in which serious injuries decline, but fatalities and nonmotorized fatalities and nonmotorized</w:t>
      </w:r>
      <w:r w:rsidR="00E604EE" w:rsidRPr="00B17787">
        <w:rPr>
          <w:rFonts w:ascii="Arial" w:hAnsi="Arial" w:cs="Arial"/>
          <w:sz w:val="24"/>
          <w:szCs w:val="24"/>
        </w:rPr>
        <w:t xml:space="preserve"> </w:t>
      </w:r>
      <w:r w:rsidR="00265A1B" w:rsidRPr="00B17787">
        <w:rPr>
          <w:rFonts w:ascii="Arial" w:hAnsi="Arial" w:cs="Arial"/>
          <w:sz w:val="24"/>
          <w:szCs w:val="24"/>
        </w:rPr>
        <w:t>serious injuries increase.</w:t>
      </w:r>
      <w:r w:rsidR="001C363C" w:rsidRPr="00B17787">
        <w:rPr>
          <w:rFonts w:ascii="Arial" w:hAnsi="Arial" w:cs="Arial"/>
          <w:sz w:val="24"/>
          <w:szCs w:val="24"/>
        </w:rPr>
        <w:t xml:space="preserve"> An increase in </w:t>
      </w:r>
      <w:r w:rsidR="001C363C" w:rsidRPr="00B17787">
        <w:rPr>
          <w:rFonts w:ascii="Arial" w:hAnsi="Arial" w:cs="Arial"/>
          <w:sz w:val="24"/>
          <w:szCs w:val="24"/>
        </w:rPr>
        <w:lastRenderedPageBreak/>
        <w:t>overall traffic volumes and a growing economy both have a strong correlation with increased traffic crashes. The GVMC Technical and Policy Committees also agreed with the TPSG Committee’s recommendation and opted to support the state’s safety targets at their January</w:t>
      </w:r>
      <w:r w:rsidR="00193500">
        <w:rPr>
          <w:rFonts w:ascii="Arial" w:hAnsi="Arial" w:cs="Arial"/>
          <w:sz w:val="24"/>
          <w:szCs w:val="24"/>
        </w:rPr>
        <w:t xml:space="preserve"> 2018</w:t>
      </w:r>
      <w:r w:rsidR="001C363C" w:rsidRPr="00B17787">
        <w:rPr>
          <w:rFonts w:ascii="Arial" w:hAnsi="Arial" w:cs="Arial"/>
          <w:sz w:val="24"/>
          <w:szCs w:val="24"/>
        </w:rPr>
        <w:t xml:space="preserve"> committee meetings. </w:t>
      </w:r>
      <w:r w:rsidR="00265A1B" w:rsidRPr="00B17787">
        <w:rPr>
          <w:rFonts w:ascii="Arial" w:hAnsi="Arial" w:cs="Arial"/>
          <w:sz w:val="24"/>
          <w:szCs w:val="24"/>
        </w:rPr>
        <w:t xml:space="preserve"> </w:t>
      </w:r>
    </w:p>
    <w:p w:rsidR="00E604EE" w:rsidRPr="00B17787" w:rsidRDefault="00E604EE" w:rsidP="00DF3DE3">
      <w:pPr>
        <w:autoSpaceDE w:val="0"/>
        <w:autoSpaceDN w:val="0"/>
        <w:adjustRightInd w:val="0"/>
        <w:spacing w:after="0" w:line="240" w:lineRule="auto"/>
        <w:rPr>
          <w:rFonts w:ascii="Arial" w:hAnsi="Arial" w:cs="Arial"/>
          <w:sz w:val="24"/>
          <w:szCs w:val="24"/>
        </w:rPr>
      </w:pPr>
    </w:p>
    <w:p w:rsidR="0015089F" w:rsidRPr="00B17787" w:rsidRDefault="00E604EE" w:rsidP="00DF3DE3">
      <w:pPr>
        <w:autoSpaceDE w:val="0"/>
        <w:autoSpaceDN w:val="0"/>
        <w:adjustRightInd w:val="0"/>
        <w:spacing w:after="0" w:line="240" w:lineRule="auto"/>
        <w:rPr>
          <w:rFonts w:ascii="Arial" w:hAnsi="Arial" w:cs="Arial"/>
          <w:sz w:val="24"/>
          <w:szCs w:val="24"/>
        </w:rPr>
      </w:pPr>
      <w:r w:rsidRPr="00B17787">
        <w:rPr>
          <w:rFonts w:ascii="Arial" w:hAnsi="Arial" w:cs="Arial"/>
          <w:sz w:val="24"/>
          <w:szCs w:val="24"/>
        </w:rPr>
        <w:t xml:space="preserve">Below are the statewide </w:t>
      </w:r>
      <w:r w:rsidR="00265A1B" w:rsidRPr="00B17787">
        <w:rPr>
          <w:rFonts w:ascii="Arial" w:hAnsi="Arial" w:cs="Arial"/>
          <w:sz w:val="24"/>
          <w:szCs w:val="24"/>
        </w:rPr>
        <w:t>trends in crashes during the past 5</w:t>
      </w:r>
      <w:r w:rsidR="00265A1B" w:rsidRPr="00B17787">
        <w:rPr>
          <w:rFonts w:ascii="Cambria Math" w:hAnsi="Cambria Math" w:cs="Cambria Math"/>
          <w:sz w:val="24"/>
          <w:szCs w:val="24"/>
        </w:rPr>
        <w:t>‐</w:t>
      </w:r>
      <w:r w:rsidR="00265A1B" w:rsidRPr="00B17787">
        <w:rPr>
          <w:rFonts w:ascii="Arial" w:hAnsi="Arial" w:cs="Arial"/>
          <w:sz w:val="24"/>
          <w:szCs w:val="24"/>
        </w:rPr>
        <w:t>year period:</w:t>
      </w:r>
    </w:p>
    <w:p w:rsidR="004B2F52" w:rsidRPr="00B17787" w:rsidRDefault="004B2F52" w:rsidP="00DF3DE3">
      <w:pPr>
        <w:autoSpaceDE w:val="0"/>
        <w:autoSpaceDN w:val="0"/>
        <w:adjustRightInd w:val="0"/>
        <w:spacing w:after="0" w:line="240" w:lineRule="auto"/>
        <w:rPr>
          <w:rFonts w:ascii="Arial" w:hAnsi="Arial" w:cs="Arial"/>
          <w:b/>
          <w:bCs/>
          <w:sz w:val="24"/>
          <w:szCs w:val="24"/>
        </w:rPr>
      </w:pPr>
    </w:p>
    <w:p w:rsidR="00E604EE" w:rsidRPr="00B17787" w:rsidRDefault="00E604EE" w:rsidP="00DF3DE3">
      <w:pPr>
        <w:autoSpaceDE w:val="0"/>
        <w:autoSpaceDN w:val="0"/>
        <w:adjustRightInd w:val="0"/>
        <w:spacing w:after="0" w:line="240" w:lineRule="auto"/>
        <w:rPr>
          <w:rFonts w:ascii="Arial" w:hAnsi="Arial" w:cs="Arial"/>
          <w:b/>
          <w:bCs/>
          <w:sz w:val="24"/>
          <w:szCs w:val="24"/>
        </w:rPr>
      </w:pPr>
      <w:r w:rsidRPr="00B17787">
        <w:rPr>
          <w:rFonts w:ascii="Arial" w:hAnsi="Arial" w:cs="Arial"/>
          <w:b/>
          <w:bCs/>
          <w:sz w:val="24"/>
          <w:szCs w:val="24"/>
        </w:rPr>
        <w:t>Michigan Crash Trends, 2012</w:t>
      </w:r>
      <w:r w:rsidRPr="00B17787">
        <w:rPr>
          <w:rFonts w:ascii="Cambria Math" w:hAnsi="Cambria Math" w:cs="Cambria Math"/>
          <w:b/>
          <w:bCs/>
          <w:sz w:val="24"/>
          <w:szCs w:val="24"/>
        </w:rPr>
        <w:t>‐</w:t>
      </w:r>
      <w:r w:rsidR="004B2F52" w:rsidRPr="00B17787">
        <w:rPr>
          <w:rFonts w:ascii="Arial" w:hAnsi="Arial" w:cs="Arial"/>
          <w:b/>
          <w:bCs/>
          <w:sz w:val="24"/>
          <w:szCs w:val="24"/>
        </w:rPr>
        <w:t>2016</w:t>
      </w:r>
    </w:p>
    <w:p w:rsidR="00E604EE" w:rsidRPr="00B17787" w:rsidRDefault="00E604EE" w:rsidP="00DF3DE3">
      <w:pPr>
        <w:autoSpaceDE w:val="0"/>
        <w:autoSpaceDN w:val="0"/>
        <w:adjustRightInd w:val="0"/>
        <w:spacing w:after="0" w:line="240" w:lineRule="auto"/>
        <w:jc w:val="center"/>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96"/>
        <w:gridCol w:w="1596"/>
        <w:gridCol w:w="1596"/>
        <w:gridCol w:w="1596"/>
        <w:gridCol w:w="1596"/>
        <w:gridCol w:w="1596"/>
      </w:tblGrid>
      <w:tr w:rsidR="00996BB5" w:rsidRPr="00B17787" w:rsidTr="00996BB5">
        <w:tc>
          <w:tcPr>
            <w:tcW w:w="1596" w:type="dxa"/>
            <w:shd w:val="clear" w:color="auto" w:fill="95B3D7" w:themeFill="accent1" w:themeFillTint="99"/>
            <w:vAlign w:val="center"/>
          </w:tcPr>
          <w:p w:rsidR="00E604EE" w:rsidRPr="00B17787" w:rsidRDefault="00E604EE" w:rsidP="00DF3DE3">
            <w:pPr>
              <w:autoSpaceDE w:val="0"/>
              <w:autoSpaceDN w:val="0"/>
              <w:adjustRightInd w:val="0"/>
              <w:jc w:val="center"/>
              <w:rPr>
                <w:rFonts w:ascii="Arial" w:hAnsi="Arial" w:cs="Arial"/>
                <w:b/>
                <w:sz w:val="24"/>
                <w:szCs w:val="24"/>
              </w:rPr>
            </w:pPr>
          </w:p>
          <w:p w:rsidR="004B2F52" w:rsidRPr="00B17787" w:rsidRDefault="004B2F52" w:rsidP="00DF3DE3">
            <w:pPr>
              <w:autoSpaceDE w:val="0"/>
              <w:autoSpaceDN w:val="0"/>
              <w:adjustRightInd w:val="0"/>
              <w:jc w:val="center"/>
              <w:rPr>
                <w:rFonts w:ascii="Arial" w:hAnsi="Arial" w:cs="Arial"/>
                <w:b/>
                <w:sz w:val="24"/>
                <w:szCs w:val="24"/>
              </w:rPr>
            </w:pPr>
          </w:p>
        </w:tc>
        <w:tc>
          <w:tcPr>
            <w:tcW w:w="1596" w:type="dxa"/>
            <w:shd w:val="clear" w:color="auto" w:fill="95B3D7" w:themeFill="accent1" w:themeFillTint="99"/>
          </w:tcPr>
          <w:p w:rsidR="00E604EE" w:rsidRPr="00B17787" w:rsidRDefault="00E604EE" w:rsidP="00DF3DE3">
            <w:pPr>
              <w:autoSpaceDE w:val="0"/>
              <w:autoSpaceDN w:val="0"/>
              <w:adjustRightInd w:val="0"/>
              <w:rPr>
                <w:rFonts w:ascii="Arial" w:hAnsi="Arial" w:cs="Arial"/>
                <w:b/>
                <w:sz w:val="24"/>
                <w:szCs w:val="24"/>
              </w:rPr>
            </w:pPr>
            <w:r w:rsidRPr="00B17787">
              <w:rPr>
                <w:rFonts w:ascii="Arial" w:hAnsi="Arial" w:cs="Arial"/>
                <w:b/>
                <w:sz w:val="24"/>
                <w:szCs w:val="24"/>
              </w:rPr>
              <w:t>2012</w:t>
            </w:r>
          </w:p>
        </w:tc>
        <w:tc>
          <w:tcPr>
            <w:tcW w:w="1596" w:type="dxa"/>
            <w:shd w:val="clear" w:color="auto" w:fill="95B3D7" w:themeFill="accent1" w:themeFillTint="99"/>
          </w:tcPr>
          <w:p w:rsidR="00E604EE" w:rsidRPr="00B17787" w:rsidRDefault="00E604EE" w:rsidP="00DF3DE3">
            <w:pPr>
              <w:autoSpaceDE w:val="0"/>
              <w:autoSpaceDN w:val="0"/>
              <w:adjustRightInd w:val="0"/>
              <w:rPr>
                <w:rFonts w:ascii="Arial" w:hAnsi="Arial" w:cs="Arial"/>
                <w:b/>
                <w:sz w:val="24"/>
                <w:szCs w:val="24"/>
              </w:rPr>
            </w:pPr>
            <w:r w:rsidRPr="00B17787">
              <w:rPr>
                <w:rFonts w:ascii="Arial" w:hAnsi="Arial" w:cs="Arial"/>
                <w:b/>
                <w:sz w:val="24"/>
                <w:szCs w:val="24"/>
              </w:rPr>
              <w:t>2013</w:t>
            </w:r>
          </w:p>
        </w:tc>
        <w:tc>
          <w:tcPr>
            <w:tcW w:w="1596" w:type="dxa"/>
            <w:shd w:val="clear" w:color="auto" w:fill="95B3D7" w:themeFill="accent1" w:themeFillTint="99"/>
          </w:tcPr>
          <w:p w:rsidR="00E604EE" w:rsidRPr="00B17787" w:rsidRDefault="00E604EE" w:rsidP="00DF3DE3">
            <w:pPr>
              <w:autoSpaceDE w:val="0"/>
              <w:autoSpaceDN w:val="0"/>
              <w:adjustRightInd w:val="0"/>
              <w:rPr>
                <w:rFonts w:ascii="Arial" w:hAnsi="Arial" w:cs="Arial"/>
                <w:b/>
                <w:sz w:val="24"/>
                <w:szCs w:val="24"/>
              </w:rPr>
            </w:pPr>
            <w:r w:rsidRPr="00B17787">
              <w:rPr>
                <w:rFonts w:ascii="Arial" w:hAnsi="Arial" w:cs="Arial"/>
                <w:b/>
                <w:sz w:val="24"/>
                <w:szCs w:val="24"/>
              </w:rPr>
              <w:t>2014</w:t>
            </w:r>
          </w:p>
        </w:tc>
        <w:tc>
          <w:tcPr>
            <w:tcW w:w="1596" w:type="dxa"/>
            <w:shd w:val="clear" w:color="auto" w:fill="95B3D7" w:themeFill="accent1" w:themeFillTint="99"/>
          </w:tcPr>
          <w:p w:rsidR="00E604EE" w:rsidRPr="00B17787" w:rsidRDefault="00E604EE" w:rsidP="00DF3DE3">
            <w:pPr>
              <w:autoSpaceDE w:val="0"/>
              <w:autoSpaceDN w:val="0"/>
              <w:adjustRightInd w:val="0"/>
              <w:rPr>
                <w:rFonts w:ascii="Arial" w:hAnsi="Arial" w:cs="Arial"/>
                <w:b/>
                <w:sz w:val="24"/>
                <w:szCs w:val="24"/>
              </w:rPr>
            </w:pPr>
            <w:r w:rsidRPr="00B17787">
              <w:rPr>
                <w:rFonts w:ascii="Arial" w:hAnsi="Arial" w:cs="Arial"/>
                <w:b/>
                <w:sz w:val="24"/>
                <w:szCs w:val="24"/>
              </w:rPr>
              <w:t>2015</w:t>
            </w:r>
          </w:p>
        </w:tc>
        <w:tc>
          <w:tcPr>
            <w:tcW w:w="1596" w:type="dxa"/>
            <w:shd w:val="clear" w:color="auto" w:fill="95B3D7" w:themeFill="accent1" w:themeFillTint="99"/>
          </w:tcPr>
          <w:p w:rsidR="004B2F52" w:rsidRPr="00B17787" w:rsidRDefault="00E604EE" w:rsidP="00DF3DE3">
            <w:pPr>
              <w:autoSpaceDE w:val="0"/>
              <w:autoSpaceDN w:val="0"/>
              <w:adjustRightInd w:val="0"/>
              <w:rPr>
                <w:rFonts w:ascii="Arial" w:hAnsi="Arial" w:cs="Arial"/>
                <w:b/>
                <w:sz w:val="24"/>
                <w:szCs w:val="24"/>
              </w:rPr>
            </w:pPr>
            <w:r w:rsidRPr="00B17787">
              <w:rPr>
                <w:rFonts w:ascii="Arial" w:hAnsi="Arial" w:cs="Arial"/>
                <w:b/>
                <w:sz w:val="24"/>
                <w:szCs w:val="24"/>
              </w:rPr>
              <w:t>2016</w:t>
            </w:r>
          </w:p>
        </w:tc>
      </w:tr>
      <w:tr w:rsidR="00E604EE" w:rsidRPr="00B17787" w:rsidTr="00996BB5">
        <w:tc>
          <w:tcPr>
            <w:tcW w:w="1596" w:type="dxa"/>
            <w:vAlign w:val="center"/>
          </w:tcPr>
          <w:p w:rsidR="00E604EE" w:rsidRPr="00B17787" w:rsidRDefault="00E604EE" w:rsidP="00DF3DE3">
            <w:pPr>
              <w:autoSpaceDE w:val="0"/>
              <w:autoSpaceDN w:val="0"/>
              <w:adjustRightInd w:val="0"/>
              <w:rPr>
                <w:rFonts w:ascii="Arial" w:hAnsi="Arial" w:cs="Arial"/>
                <w:b/>
                <w:sz w:val="24"/>
                <w:szCs w:val="24"/>
              </w:rPr>
            </w:pPr>
            <w:r w:rsidRPr="00B17787">
              <w:rPr>
                <w:rFonts w:ascii="Arial" w:hAnsi="Arial" w:cs="Arial"/>
                <w:b/>
                <w:sz w:val="24"/>
                <w:szCs w:val="24"/>
              </w:rPr>
              <w:t>Fatalities</w:t>
            </w:r>
          </w:p>
          <w:p w:rsidR="004B2F52" w:rsidRPr="00B17787" w:rsidRDefault="004B2F52" w:rsidP="00DF3DE3">
            <w:pPr>
              <w:autoSpaceDE w:val="0"/>
              <w:autoSpaceDN w:val="0"/>
              <w:adjustRightInd w:val="0"/>
              <w:rPr>
                <w:rFonts w:ascii="Arial" w:hAnsi="Arial" w:cs="Arial"/>
                <w:b/>
                <w:sz w:val="24"/>
                <w:szCs w:val="24"/>
              </w:rPr>
            </w:pPr>
          </w:p>
          <w:p w:rsidR="004B2F52" w:rsidRPr="00B17787" w:rsidRDefault="004B2F52" w:rsidP="00DF3DE3">
            <w:pPr>
              <w:autoSpaceDE w:val="0"/>
              <w:autoSpaceDN w:val="0"/>
              <w:adjustRightInd w:val="0"/>
              <w:rPr>
                <w:rFonts w:ascii="Arial" w:hAnsi="Arial" w:cs="Arial"/>
                <w:b/>
                <w:sz w:val="24"/>
                <w:szCs w:val="24"/>
              </w:rPr>
            </w:pPr>
          </w:p>
        </w:tc>
        <w:tc>
          <w:tcPr>
            <w:tcW w:w="1596" w:type="dxa"/>
          </w:tcPr>
          <w:p w:rsidR="00E604EE" w:rsidRPr="00B17787" w:rsidRDefault="00E604EE" w:rsidP="00DF3DE3">
            <w:pPr>
              <w:autoSpaceDE w:val="0"/>
              <w:autoSpaceDN w:val="0"/>
              <w:adjustRightInd w:val="0"/>
              <w:rPr>
                <w:rFonts w:ascii="Arial" w:hAnsi="Arial" w:cs="Arial"/>
                <w:sz w:val="24"/>
                <w:szCs w:val="24"/>
              </w:rPr>
            </w:pPr>
            <w:r w:rsidRPr="00B17787">
              <w:rPr>
                <w:rFonts w:ascii="Arial" w:hAnsi="Arial" w:cs="Arial"/>
                <w:sz w:val="24"/>
                <w:szCs w:val="24"/>
              </w:rPr>
              <w:t>936</w:t>
            </w:r>
          </w:p>
        </w:tc>
        <w:tc>
          <w:tcPr>
            <w:tcW w:w="1596" w:type="dxa"/>
          </w:tcPr>
          <w:p w:rsidR="00E604EE" w:rsidRPr="00B17787" w:rsidRDefault="00E604EE" w:rsidP="00DF3DE3">
            <w:pPr>
              <w:autoSpaceDE w:val="0"/>
              <w:autoSpaceDN w:val="0"/>
              <w:adjustRightInd w:val="0"/>
              <w:rPr>
                <w:rFonts w:ascii="Arial" w:hAnsi="Arial" w:cs="Arial"/>
                <w:sz w:val="24"/>
                <w:szCs w:val="24"/>
              </w:rPr>
            </w:pPr>
            <w:r w:rsidRPr="00B17787">
              <w:rPr>
                <w:rFonts w:ascii="Arial" w:hAnsi="Arial" w:cs="Arial"/>
                <w:sz w:val="24"/>
                <w:szCs w:val="24"/>
              </w:rPr>
              <w:t>951</w:t>
            </w:r>
          </w:p>
        </w:tc>
        <w:tc>
          <w:tcPr>
            <w:tcW w:w="1596" w:type="dxa"/>
          </w:tcPr>
          <w:p w:rsidR="00E604EE" w:rsidRPr="00B17787" w:rsidRDefault="00E604EE" w:rsidP="00DF3DE3">
            <w:pPr>
              <w:autoSpaceDE w:val="0"/>
              <w:autoSpaceDN w:val="0"/>
              <w:adjustRightInd w:val="0"/>
              <w:rPr>
                <w:rFonts w:ascii="Arial" w:hAnsi="Arial" w:cs="Arial"/>
                <w:sz w:val="24"/>
                <w:szCs w:val="24"/>
              </w:rPr>
            </w:pPr>
            <w:r w:rsidRPr="00B17787">
              <w:rPr>
                <w:rFonts w:ascii="Arial" w:hAnsi="Arial" w:cs="Arial"/>
                <w:sz w:val="24"/>
                <w:szCs w:val="24"/>
              </w:rPr>
              <w:t>876</w:t>
            </w:r>
          </w:p>
        </w:tc>
        <w:tc>
          <w:tcPr>
            <w:tcW w:w="1596" w:type="dxa"/>
          </w:tcPr>
          <w:p w:rsidR="00E604EE" w:rsidRPr="00B17787" w:rsidRDefault="00E604EE" w:rsidP="00DF3DE3">
            <w:pPr>
              <w:autoSpaceDE w:val="0"/>
              <w:autoSpaceDN w:val="0"/>
              <w:adjustRightInd w:val="0"/>
              <w:rPr>
                <w:rFonts w:ascii="Arial" w:hAnsi="Arial" w:cs="Arial"/>
                <w:sz w:val="24"/>
                <w:szCs w:val="24"/>
              </w:rPr>
            </w:pPr>
            <w:r w:rsidRPr="00B17787">
              <w:rPr>
                <w:rFonts w:ascii="Arial" w:hAnsi="Arial" w:cs="Arial"/>
                <w:sz w:val="24"/>
                <w:szCs w:val="24"/>
              </w:rPr>
              <w:t>963</w:t>
            </w:r>
          </w:p>
        </w:tc>
        <w:tc>
          <w:tcPr>
            <w:tcW w:w="1596" w:type="dxa"/>
          </w:tcPr>
          <w:p w:rsidR="00E604EE" w:rsidRPr="00B17787" w:rsidRDefault="00E604EE" w:rsidP="00DF3DE3">
            <w:pPr>
              <w:autoSpaceDE w:val="0"/>
              <w:autoSpaceDN w:val="0"/>
              <w:adjustRightInd w:val="0"/>
              <w:rPr>
                <w:rFonts w:ascii="Arial" w:hAnsi="Arial" w:cs="Arial"/>
                <w:sz w:val="24"/>
                <w:szCs w:val="24"/>
              </w:rPr>
            </w:pPr>
            <w:r w:rsidRPr="00B17787">
              <w:rPr>
                <w:rFonts w:ascii="Arial" w:hAnsi="Arial" w:cs="Arial"/>
                <w:sz w:val="24"/>
                <w:szCs w:val="24"/>
              </w:rPr>
              <w:t>1,064</w:t>
            </w:r>
          </w:p>
        </w:tc>
      </w:tr>
      <w:tr w:rsidR="00E604EE" w:rsidRPr="00B17787" w:rsidTr="00996BB5">
        <w:tc>
          <w:tcPr>
            <w:tcW w:w="1596" w:type="dxa"/>
            <w:vAlign w:val="center"/>
          </w:tcPr>
          <w:p w:rsidR="00E604EE" w:rsidRPr="00B17787" w:rsidRDefault="00E604EE" w:rsidP="00DF3DE3">
            <w:pPr>
              <w:autoSpaceDE w:val="0"/>
              <w:autoSpaceDN w:val="0"/>
              <w:adjustRightInd w:val="0"/>
              <w:rPr>
                <w:rFonts w:ascii="Arial" w:hAnsi="Arial" w:cs="Arial"/>
                <w:b/>
                <w:sz w:val="24"/>
                <w:szCs w:val="24"/>
              </w:rPr>
            </w:pPr>
            <w:r w:rsidRPr="00B17787">
              <w:rPr>
                <w:rFonts w:ascii="Arial" w:hAnsi="Arial" w:cs="Arial"/>
                <w:b/>
                <w:sz w:val="24"/>
                <w:szCs w:val="24"/>
              </w:rPr>
              <w:t>Serious Injuries</w:t>
            </w:r>
          </w:p>
          <w:p w:rsidR="004B2F52" w:rsidRPr="00B17787" w:rsidRDefault="004B2F52" w:rsidP="00DF3DE3">
            <w:pPr>
              <w:autoSpaceDE w:val="0"/>
              <w:autoSpaceDN w:val="0"/>
              <w:adjustRightInd w:val="0"/>
              <w:rPr>
                <w:rFonts w:ascii="Arial" w:hAnsi="Arial" w:cs="Arial"/>
                <w:b/>
                <w:sz w:val="24"/>
                <w:szCs w:val="24"/>
              </w:rPr>
            </w:pPr>
          </w:p>
        </w:tc>
        <w:tc>
          <w:tcPr>
            <w:tcW w:w="1596" w:type="dxa"/>
          </w:tcPr>
          <w:p w:rsidR="00E604EE" w:rsidRPr="00B17787" w:rsidRDefault="004B2F52" w:rsidP="00DF3DE3">
            <w:pPr>
              <w:autoSpaceDE w:val="0"/>
              <w:autoSpaceDN w:val="0"/>
              <w:adjustRightInd w:val="0"/>
              <w:rPr>
                <w:rFonts w:ascii="Arial" w:hAnsi="Arial" w:cs="Arial"/>
                <w:sz w:val="24"/>
                <w:szCs w:val="24"/>
              </w:rPr>
            </w:pPr>
            <w:r w:rsidRPr="00B17787">
              <w:rPr>
                <w:rFonts w:ascii="Arial" w:hAnsi="Arial" w:cs="Arial"/>
                <w:sz w:val="24"/>
                <w:szCs w:val="24"/>
              </w:rPr>
              <w:t>4,540</w:t>
            </w:r>
          </w:p>
        </w:tc>
        <w:tc>
          <w:tcPr>
            <w:tcW w:w="1596" w:type="dxa"/>
          </w:tcPr>
          <w:p w:rsidR="00E604EE" w:rsidRPr="00B17787" w:rsidRDefault="004B2F52" w:rsidP="00DF3DE3">
            <w:pPr>
              <w:autoSpaceDE w:val="0"/>
              <w:autoSpaceDN w:val="0"/>
              <w:adjustRightInd w:val="0"/>
              <w:rPr>
                <w:rFonts w:ascii="Arial" w:hAnsi="Arial" w:cs="Arial"/>
                <w:sz w:val="24"/>
                <w:szCs w:val="24"/>
              </w:rPr>
            </w:pPr>
            <w:r w:rsidRPr="00B17787">
              <w:rPr>
                <w:rFonts w:ascii="Arial" w:hAnsi="Arial" w:cs="Arial"/>
                <w:sz w:val="24"/>
                <w:szCs w:val="24"/>
              </w:rPr>
              <w:t>4,311</w:t>
            </w:r>
          </w:p>
        </w:tc>
        <w:tc>
          <w:tcPr>
            <w:tcW w:w="1596" w:type="dxa"/>
          </w:tcPr>
          <w:p w:rsidR="00E604EE" w:rsidRPr="00B17787" w:rsidRDefault="004B2F52" w:rsidP="00DF3DE3">
            <w:pPr>
              <w:autoSpaceDE w:val="0"/>
              <w:autoSpaceDN w:val="0"/>
              <w:adjustRightInd w:val="0"/>
              <w:rPr>
                <w:rFonts w:ascii="Arial" w:hAnsi="Arial" w:cs="Arial"/>
                <w:sz w:val="24"/>
                <w:szCs w:val="24"/>
              </w:rPr>
            </w:pPr>
            <w:r w:rsidRPr="00B17787">
              <w:rPr>
                <w:rFonts w:ascii="Arial" w:hAnsi="Arial" w:cs="Arial"/>
                <w:sz w:val="24"/>
                <w:szCs w:val="24"/>
              </w:rPr>
              <w:t>4,045</w:t>
            </w:r>
          </w:p>
        </w:tc>
        <w:tc>
          <w:tcPr>
            <w:tcW w:w="1596" w:type="dxa"/>
          </w:tcPr>
          <w:p w:rsidR="00E604EE" w:rsidRPr="00B17787" w:rsidRDefault="004B2F52" w:rsidP="00DF3DE3">
            <w:pPr>
              <w:autoSpaceDE w:val="0"/>
              <w:autoSpaceDN w:val="0"/>
              <w:adjustRightInd w:val="0"/>
              <w:rPr>
                <w:rFonts w:ascii="Arial" w:hAnsi="Arial" w:cs="Arial"/>
                <w:sz w:val="24"/>
                <w:szCs w:val="24"/>
              </w:rPr>
            </w:pPr>
            <w:r w:rsidRPr="00B17787">
              <w:rPr>
                <w:rFonts w:ascii="Arial" w:hAnsi="Arial" w:cs="Arial"/>
                <w:sz w:val="24"/>
                <w:szCs w:val="24"/>
              </w:rPr>
              <w:t>3,939</w:t>
            </w:r>
          </w:p>
        </w:tc>
        <w:tc>
          <w:tcPr>
            <w:tcW w:w="1596" w:type="dxa"/>
          </w:tcPr>
          <w:p w:rsidR="00E604EE" w:rsidRPr="00B17787" w:rsidRDefault="004B2F52" w:rsidP="00DF3DE3">
            <w:pPr>
              <w:autoSpaceDE w:val="0"/>
              <w:autoSpaceDN w:val="0"/>
              <w:adjustRightInd w:val="0"/>
              <w:rPr>
                <w:rFonts w:ascii="Arial" w:hAnsi="Arial" w:cs="Arial"/>
                <w:sz w:val="24"/>
                <w:szCs w:val="24"/>
              </w:rPr>
            </w:pPr>
            <w:r w:rsidRPr="00B17787">
              <w:rPr>
                <w:rFonts w:ascii="Arial" w:hAnsi="Arial" w:cs="Arial"/>
                <w:sz w:val="24"/>
                <w:szCs w:val="24"/>
              </w:rPr>
              <w:t>4,565</w:t>
            </w:r>
          </w:p>
        </w:tc>
      </w:tr>
      <w:tr w:rsidR="00E604EE" w:rsidRPr="00B17787" w:rsidTr="00996BB5">
        <w:tc>
          <w:tcPr>
            <w:tcW w:w="1596" w:type="dxa"/>
            <w:vAlign w:val="center"/>
          </w:tcPr>
          <w:p w:rsidR="00E604EE" w:rsidRPr="00B17787" w:rsidRDefault="00E604EE" w:rsidP="00DF3DE3">
            <w:pPr>
              <w:autoSpaceDE w:val="0"/>
              <w:autoSpaceDN w:val="0"/>
              <w:adjustRightInd w:val="0"/>
              <w:rPr>
                <w:rFonts w:ascii="Arial" w:hAnsi="Arial" w:cs="Arial"/>
                <w:b/>
                <w:sz w:val="24"/>
                <w:szCs w:val="24"/>
              </w:rPr>
            </w:pPr>
            <w:r w:rsidRPr="00B17787">
              <w:rPr>
                <w:rFonts w:ascii="Arial" w:hAnsi="Arial" w:cs="Arial"/>
                <w:b/>
                <w:sz w:val="24"/>
                <w:szCs w:val="24"/>
              </w:rPr>
              <w:t>Non-Motorized Fatalities &amp; Serious Injuries</w:t>
            </w:r>
          </w:p>
        </w:tc>
        <w:tc>
          <w:tcPr>
            <w:tcW w:w="1596" w:type="dxa"/>
          </w:tcPr>
          <w:p w:rsidR="00E604EE" w:rsidRPr="00B17787" w:rsidRDefault="004B2F52" w:rsidP="00DF3DE3">
            <w:pPr>
              <w:autoSpaceDE w:val="0"/>
              <w:autoSpaceDN w:val="0"/>
              <w:adjustRightInd w:val="0"/>
              <w:rPr>
                <w:rFonts w:ascii="Arial" w:hAnsi="Arial" w:cs="Arial"/>
                <w:sz w:val="24"/>
                <w:szCs w:val="24"/>
              </w:rPr>
            </w:pPr>
            <w:r w:rsidRPr="00B17787">
              <w:rPr>
                <w:rFonts w:ascii="Arial" w:hAnsi="Arial" w:cs="Arial"/>
                <w:sz w:val="24"/>
                <w:szCs w:val="24"/>
              </w:rPr>
              <w:t>666</w:t>
            </w:r>
          </w:p>
        </w:tc>
        <w:tc>
          <w:tcPr>
            <w:tcW w:w="1596" w:type="dxa"/>
          </w:tcPr>
          <w:p w:rsidR="00E604EE" w:rsidRPr="00B17787" w:rsidRDefault="004B2F52" w:rsidP="00DF3DE3">
            <w:pPr>
              <w:autoSpaceDE w:val="0"/>
              <w:autoSpaceDN w:val="0"/>
              <w:adjustRightInd w:val="0"/>
              <w:rPr>
                <w:rFonts w:ascii="Arial" w:hAnsi="Arial" w:cs="Arial"/>
                <w:sz w:val="24"/>
                <w:szCs w:val="24"/>
              </w:rPr>
            </w:pPr>
            <w:r w:rsidRPr="00B17787">
              <w:rPr>
                <w:rFonts w:ascii="Arial" w:hAnsi="Arial" w:cs="Arial"/>
                <w:sz w:val="24"/>
                <w:szCs w:val="24"/>
              </w:rPr>
              <w:t>714</w:t>
            </w:r>
          </w:p>
        </w:tc>
        <w:tc>
          <w:tcPr>
            <w:tcW w:w="1596" w:type="dxa"/>
          </w:tcPr>
          <w:p w:rsidR="00E604EE" w:rsidRPr="00B17787" w:rsidRDefault="004B2F52" w:rsidP="00DF3DE3">
            <w:pPr>
              <w:autoSpaceDE w:val="0"/>
              <w:autoSpaceDN w:val="0"/>
              <w:adjustRightInd w:val="0"/>
              <w:rPr>
                <w:rFonts w:ascii="Arial" w:hAnsi="Arial" w:cs="Arial"/>
                <w:sz w:val="24"/>
                <w:szCs w:val="24"/>
              </w:rPr>
            </w:pPr>
            <w:r w:rsidRPr="00B17787">
              <w:rPr>
                <w:rFonts w:ascii="Arial" w:hAnsi="Arial" w:cs="Arial"/>
                <w:sz w:val="24"/>
                <w:szCs w:val="24"/>
              </w:rPr>
              <w:t>668</w:t>
            </w:r>
          </w:p>
        </w:tc>
        <w:tc>
          <w:tcPr>
            <w:tcW w:w="1596" w:type="dxa"/>
          </w:tcPr>
          <w:p w:rsidR="00E604EE" w:rsidRPr="00B17787" w:rsidRDefault="004B2F52" w:rsidP="00DF3DE3">
            <w:pPr>
              <w:autoSpaceDE w:val="0"/>
              <w:autoSpaceDN w:val="0"/>
              <w:adjustRightInd w:val="0"/>
              <w:rPr>
                <w:rFonts w:ascii="Arial" w:hAnsi="Arial" w:cs="Arial"/>
                <w:sz w:val="24"/>
                <w:szCs w:val="24"/>
              </w:rPr>
            </w:pPr>
            <w:r w:rsidRPr="00B17787">
              <w:rPr>
                <w:rFonts w:ascii="Arial" w:hAnsi="Arial" w:cs="Arial"/>
                <w:sz w:val="24"/>
                <w:szCs w:val="24"/>
              </w:rPr>
              <w:t>709</w:t>
            </w:r>
          </w:p>
        </w:tc>
        <w:tc>
          <w:tcPr>
            <w:tcW w:w="1596" w:type="dxa"/>
          </w:tcPr>
          <w:p w:rsidR="00E604EE" w:rsidRPr="00B17787" w:rsidRDefault="004B2F52" w:rsidP="00DF3DE3">
            <w:pPr>
              <w:autoSpaceDE w:val="0"/>
              <w:autoSpaceDN w:val="0"/>
              <w:adjustRightInd w:val="0"/>
              <w:rPr>
                <w:rFonts w:ascii="Arial" w:hAnsi="Arial" w:cs="Arial"/>
                <w:sz w:val="24"/>
                <w:szCs w:val="24"/>
              </w:rPr>
            </w:pPr>
            <w:r w:rsidRPr="00B17787">
              <w:rPr>
                <w:rFonts w:ascii="Arial" w:hAnsi="Arial" w:cs="Arial"/>
                <w:sz w:val="24"/>
                <w:szCs w:val="24"/>
              </w:rPr>
              <w:t>704</w:t>
            </w:r>
          </w:p>
        </w:tc>
      </w:tr>
    </w:tbl>
    <w:p w:rsidR="001C363C" w:rsidRPr="00B17787" w:rsidRDefault="001C363C" w:rsidP="00DF3DE3">
      <w:pPr>
        <w:autoSpaceDE w:val="0"/>
        <w:autoSpaceDN w:val="0"/>
        <w:adjustRightInd w:val="0"/>
        <w:spacing w:after="0" w:line="240" w:lineRule="auto"/>
        <w:rPr>
          <w:rFonts w:ascii="Arial" w:hAnsi="Arial" w:cs="Arial"/>
          <w:sz w:val="24"/>
          <w:szCs w:val="24"/>
        </w:rPr>
        <w:sectPr w:rsidR="001C363C" w:rsidRPr="00B17787">
          <w:footerReference w:type="default" r:id="rId8"/>
          <w:pgSz w:w="12240" w:h="15840"/>
          <w:pgMar w:top="1440" w:right="1440" w:bottom="1440" w:left="1440" w:header="720" w:footer="720" w:gutter="0"/>
          <w:cols w:space="720"/>
          <w:docGrid w:linePitch="360"/>
        </w:sectPr>
      </w:pPr>
      <w:r w:rsidRPr="00B17787">
        <w:rPr>
          <w:rFonts w:ascii="Arial" w:hAnsi="Arial" w:cs="Arial"/>
          <w:sz w:val="24"/>
          <w:szCs w:val="24"/>
        </w:rPr>
        <w:br w:type="page"/>
      </w:r>
    </w:p>
    <w:p w:rsidR="00E604EE" w:rsidRPr="00B17787" w:rsidRDefault="00E604EE" w:rsidP="00DF3DE3">
      <w:pPr>
        <w:autoSpaceDE w:val="0"/>
        <w:autoSpaceDN w:val="0"/>
        <w:adjustRightInd w:val="0"/>
        <w:spacing w:after="0" w:line="240" w:lineRule="auto"/>
        <w:rPr>
          <w:rFonts w:ascii="Arial" w:hAnsi="Arial" w:cs="Arial"/>
          <w:sz w:val="24"/>
          <w:szCs w:val="24"/>
        </w:rPr>
      </w:pPr>
    </w:p>
    <w:tbl>
      <w:tblPr>
        <w:tblStyle w:val="TableGrid"/>
        <w:tblW w:w="0" w:type="auto"/>
        <w:jc w:val="center"/>
        <w:tblLook w:val="04A0" w:firstRow="1" w:lastRow="0" w:firstColumn="1" w:lastColumn="0" w:noHBand="0" w:noVBand="1"/>
      </w:tblPr>
      <w:tblGrid>
        <w:gridCol w:w="750"/>
        <w:gridCol w:w="990"/>
        <w:gridCol w:w="1030"/>
        <w:gridCol w:w="990"/>
        <w:gridCol w:w="1030"/>
        <w:gridCol w:w="817"/>
        <w:gridCol w:w="990"/>
        <w:gridCol w:w="1030"/>
        <w:gridCol w:w="990"/>
        <w:gridCol w:w="1030"/>
        <w:gridCol w:w="1057"/>
        <w:gridCol w:w="1057"/>
      </w:tblGrid>
      <w:tr w:rsidR="004B2F52" w:rsidRPr="00B17787" w:rsidTr="00CF5695">
        <w:trPr>
          <w:jc w:val="center"/>
        </w:trPr>
        <w:tc>
          <w:tcPr>
            <w:tcW w:w="11667" w:type="dxa"/>
            <w:gridSpan w:val="12"/>
          </w:tcPr>
          <w:p w:rsidR="004B2F52" w:rsidRPr="00B17787" w:rsidRDefault="004B2F52" w:rsidP="00DF3DE3">
            <w:pPr>
              <w:rPr>
                <w:rFonts w:ascii="Arial" w:hAnsi="Arial" w:cs="Arial"/>
                <w:b/>
                <w:sz w:val="24"/>
                <w:szCs w:val="24"/>
              </w:rPr>
            </w:pPr>
            <w:r w:rsidRPr="00B17787">
              <w:rPr>
                <w:rFonts w:ascii="Arial" w:hAnsi="Arial" w:cs="Arial"/>
                <w:b/>
                <w:sz w:val="24"/>
                <w:szCs w:val="24"/>
              </w:rPr>
              <w:t xml:space="preserve">                                                              GVMC Safety Performance Data</w:t>
            </w:r>
          </w:p>
          <w:p w:rsidR="004B2F52" w:rsidRPr="00B17787" w:rsidRDefault="004B2F52" w:rsidP="00DF3DE3">
            <w:pPr>
              <w:rPr>
                <w:rFonts w:ascii="Arial" w:hAnsi="Arial" w:cs="Arial"/>
                <w:sz w:val="24"/>
                <w:szCs w:val="24"/>
              </w:rPr>
            </w:pPr>
          </w:p>
        </w:tc>
      </w:tr>
      <w:tr w:rsidR="00B17787" w:rsidRPr="00B17787" w:rsidTr="00CF5695">
        <w:trPr>
          <w:jc w:val="center"/>
        </w:trPr>
        <w:tc>
          <w:tcPr>
            <w:tcW w:w="750" w:type="dxa"/>
            <w:vMerge w:val="restart"/>
            <w:vAlign w:val="center"/>
          </w:tcPr>
          <w:p w:rsidR="004B2F52" w:rsidRPr="00B17787" w:rsidRDefault="004B2F52" w:rsidP="00DF3DE3">
            <w:pPr>
              <w:rPr>
                <w:rFonts w:ascii="Arial" w:hAnsi="Arial" w:cs="Arial"/>
                <w:sz w:val="24"/>
                <w:szCs w:val="24"/>
              </w:rPr>
            </w:pPr>
            <w:r w:rsidRPr="00B17787">
              <w:rPr>
                <w:rFonts w:ascii="Arial" w:hAnsi="Arial" w:cs="Arial"/>
                <w:sz w:val="24"/>
                <w:szCs w:val="24"/>
              </w:rPr>
              <w:t xml:space="preserve">Year </w:t>
            </w:r>
          </w:p>
        </w:tc>
        <w:tc>
          <w:tcPr>
            <w:tcW w:w="990" w:type="dxa"/>
            <w:vMerge w:val="restart"/>
            <w:vAlign w:val="center"/>
          </w:tcPr>
          <w:p w:rsidR="004B2F52" w:rsidRPr="00B17787" w:rsidRDefault="004B2F52" w:rsidP="00DF3DE3">
            <w:pPr>
              <w:rPr>
                <w:rFonts w:ascii="Arial" w:hAnsi="Arial" w:cs="Arial"/>
                <w:sz w:val="24"/>
                <w:szCs w:val="24"/>
              </w:rPr>
            </w:pPr>
            <w:r w:rsidRPr="00B17787">
              <w:rPr>
                <w:rFonts w:ascii="Arial" w:hAnsi="Arial" w:cs="Arial"/>
                <w:sz w:val="24"/>
                <w:szCs w:val="24"/>
              </w:rPr>
              <w:t>Fatality</w:t>
            </w:r>
          </w:p>
        </w:tc>
        <w:tc>
          <w:tcPr>
            <w:tcW w:w="1030" w:type="dxa"/>
            <w:vMerge w:val="restart"/>
            <w:vAlign w:val="center"/>
          </w:tcPr>
          <w:p w:rsidR="004B2F52" w:rsidRPr="00B17787" w:rsidRDefault="004B2F52" w:rsidP="00DF3DE3">
            <w:pPr>
              <w:rPr>
                <w:rFonts w:ascii="Arial" w:hAnsi="Arial" w:cs="Arial"/>
                <w:sz w:val="24"/>
                <w:szCs w:val="24"/>
              </w:rPr>
            </w:pPr>
            <w:r w:rsidRPr="00B17787">
              <w:rPr>
                <w:rFonts w:ascii="Arial" w:hAnsi="Arial" w:cs="Arial"/>
                <w:sz w:val="24"/>
                <w:szCs w:val="24"/>
              </w:rPr>
              <w:t>Serious</w:t>
            </w:r>
          </w:p>
          <w:p w:rsidR="004B2F52" w:rsidRPr="00B17787" w:rsidRDefault="004B2F52" w:rsidP="00DF3DE3">
            <w:pPr>
              <w:rPr>
                <w:rFonts w:ascii="Arial" w:hAnsi="Arial" w:cs="Arial"/>
                <w:sz w:val="24"/>
                <w:szCs w:val="24"/>
              </w:rPr>
            </w:pPr>
            <w:r w:rsidRPr="00B17787">
              <w:rPr>
                <w:rFonts w:ascii="Arial" w:hAnsi="Arial" w:cs="Arial"/>
                <w:sz w:val="24"/>
                <w:szCs w:val="24"/>
              </w:rPr>
              <w:t>Injury</w:t>
            </w:r>
          </w:p>
        </w:tc>
        <w:tc>
          <w:tcPr>
            <w:tcW w:w="2020" w:type="dxa"/>
            <w:gridSpan w:val="2"/>
          </w:tcPr>
          <w:p w:rsidR="004B2F52" w:rsidRPr="00B17787" w:rsidRDefault="004B2F52" w:rsidP="00DF3DE3">
            <w:pPr>
              <w:rPr>
                <w:rFonts w:ascii="Arial" w:hAnsi="Arial" w:cs="Arial"/>
                <w:sz w:val="24"/>
                <w:szCs w:val="24"/>
              </w:rPr>
            </w:pPr>
            <w:r w:rsidRPr="00B17787">
              <w:rPr>
                <w:rFonts w:ascii="Arial" w:hAnsi="Arial" w:cs="Arial"/>
                <w:sz w:val="24"/>
                <w:szCs w:val="24"/>
              </w:rPr>
              <w:t>5yr Moving Average</w:t>
            </w:r>
          </w:p>
        </w:tc>
        <w:tc>
          <w:tcPr>
            <w:tcW w:w="723" w:type="dxa"/>
            <w:vMerge w:val="restart"/>
            <w:vAlign w:val="center"/>
          </w:tcPr>
          <w:p w:rsidR="004B2F52" w:rsidRPr="00B17787" w:rsidRDefault="004B2F52" w:rsidP="00DF3DE3">
            <w:pPr>
              <w:rPr>
                <w:rFonts w:ascii="Arial" w:hAnsi="Arial" w:cs="Arial"/>
                <w:sz w:val="24"/>
                <w:szCs w:val="24"/>
              </w:rPr>
            </w:pPr>
            <w:r w:rsidRPr="00B17787">
              <w:rPr>
                <w:rFonts w:ascii="Arial" w:hAnsi="Arial" w:cs="Arial"/>
                <w:sz w:val="24"/>
                <w:szCs w:val="24"/>
              </w:rPr>
              <w:t>VMT</w:t>
            </w:r>
          </w:p>
        </w:tc>
        <w:tc>
          <w:tcPr>
            <w:tcW w:w="990" w:type="dxa"/>
            <w:vMerge w:val="restart"/>
            <w:vAlign w:val="center"/>
          </w:tcPr>
          <w:p w:rsidR="004B2F52" w:rsidRPr="00B17787" w:rsidRDefault="004B2F52" w:rsidP="00DF3DE3">
            <w:pPr>
              <w:rPr>
                <w:rFonts w:ascii="Arial" w:hAnsi="Arial" w:cs="Arial"/>
                <w:sz w:val="24"/>
                <w:szCs w:val="24"/>
              </w:rPr>
            </w:pPr>
            <w:r w:rsidRPr="00B17787">
              <w:rPr>
                <w:rFonts w:ascii="Arial" w:hAnsi="Arial" w:cs="Arial"/>
                <w:sz w:val="24"/>
                <w:szCs w:val="24"/>
              </w:rPr>
              <w:t xml:space="preserve">Fatality </w:t>
            </w:r>
          </w:p>
          <w:p w:rsidR="004B2F52" w:rsidRPr="00B17787" w:rsidRDefault="004B2F52" w:rsidP="00DF3DE3">
            <w:pPr>
              <w:rPr>
                <w:rFonts w:ascii="Arial" w:hAnsi="Arial" w:cs="Arial"/>
                <w:sz w:val="24"/>
                <w:szCs w:val="24"/>
              </w:rPr>
            </w:pPr>
            <w:r w:rsidRPr="00B17787">
              <w:rPr>
                <w:rFonts w:ascii="Arial" w:hAnsi="Arial" w:cs="Arial"/>
                <w:sz w:val="24"/>
                <w:szCs w:val="24"/>
              </w:rPr>
              <w:t>Rate</w:t>
            </w:r>
          </w:p>
        </w:tc>
        <w:tc>
          <w:tcPr>
            <w:tcW w:w="1030" w:type="dxa"/>
            <w:vMerge w:val="restart"/>
            <w:vAlign w:val="center"/>
          </w:tcPr>
          <w:p w:rsidR="004B2F52" w:rsidRPr="00B17787" w:rsidRDefault="004B2F52" w:rsidP="00DF3DE3">
            <w:pPr>
              <w:rPr>
                <w:rFonts w:ascii="Arial" w:hAnsi="Arial" w:cs="Arial"/>
                <w:sz w:val="24"/>
                <w:szCs w:val="24"/>
              </w:rPr>
            </w:pPr>
            <w:r w:rsidRPr="00B17787">
              <w:rPr>
                <w:rFonts w:ascii="Arial" w:hAnsi="Arial" w:cs="Arial"/>
                <w:sz w:val="24"/>
                <w:szCs w:val="24"/>
              </w:rPr>
              <w:t xml:space="preserve">Serious </w:t>
            </w:r>
          </w:p>
          <w:p w:rsidR="004B2F52" w:rsidRPr="00B17787" w:rsidRDefault="004B2F52" w:rsidP="00DF3DE3">
            <w:pPr>
              <w:rPr>
                <w:rFonts w:ascii="Arial" w:hAnsi="Arial" w:cs="Arial"/>
                <w:sz w:val="24"/>
                <w:szCs w:val="24"/>
              </w:rPr>
            </w:pPr>
            <w:r w:rsidRPr="00B17787">
              <w:rPr>
                <w:rFonts w:ascii="Arial" w:hAnsi="Arial" w:cs="Arial"/>
                <w:sz w:val="24"/>
                <w:szCs w:val="24"/>
              </w:rPr>
              <w:t xml:space="preserve">Injury </w:t>
            </w:r>
          </w:p>
          <w:p w:rsidR="004B2F52" w:rsidRPr="00B17787" w:rsidRDefault="004B2F52" w:rsidP="00DF3DE3">
            <w:pPr>
              <w:rPr>
                <w:rFonts w:ascii="Arial" w:hAnsi="Arial" w:cs="Arial"/>
                <w:sz w:val="24"/>
                <w:szCs w:val="24"/>
              </w:rPr>
            </w:pPr>
            <w:r w:rsidRPr="00B17787">
              <w:rPr>
                <w:rFonts w:ascii="Arial" w:hAnsi="Arial" w:cs="Arial"/>
                <w:sz w:val="24"/>
                <w:szCs w:val="24"/>
              </w:rPr>
              <w:t>Rate</w:t>
            </w:r>
          </w:p>
        </w:tc>
        <w:tc>
          <w:tcPr>
            <w:tcW w:w="2020" w:type="dxa"/>
            <w:gridSpan w:val="2"/>
          </w:tcPr>
          <w:p w:rsidR="004B2F52" w:rsidRPr="00B17787" w:rsidRDefault="004B2F52" w:rsidP="00DF3DE3">
            <w:pPr>
              <w:rPr>
                <w:rFonts w:ascii="Arial" w:hAnsi="Arial" w:cs="Arial"/>
                <w:sz w:val="24"/>
                <w:szCs w:val="24"/>
              </w:rPr>
            </w:pPr>
            <w:r w:rsidRPr="00B17787">
              <w:rPr>
                <w:rFonts w:ascii="Arial" w:hAnsi="Arial" w:cs="Arial"/>
                <w:sz w:val="24"/>
                <w:szCs w:val="24"/>
              </w:rPr>
              <w:t>5yr Moving Average</w:t>
            </w:r>
          </w:p>
        </w:tc>
        <w:tc>
          <w:tcPr>
            <w:tcW w:w="1057" w:type="dxa"/>
            <w:vMerge w:val="restart"/>
          </w:tcPr>
          <w:p w:rsidR="004B2F52" w:rsidRPr="00B17787" w:rsidRDefault="004B2F52" w:rsidP="00DF3DE3">
            <w:pPr>
              <w:rPr>
                <w:rFonts w:ascii="Arial" w:hAnsi="Arial" w:cs="Arial"/>
                <w:sz w:val="24"/>
                <w:szCs w:val="24"/>
              </w:rPr>
            </w:pPr>
            <w:r w:rsidRPr="00B17787">
              <w:rPr>
                <w:rFonts w:ascii="Arial" w:hAnsi="Arial" w:cs="Arial"/>
                <w:sz w:val="24"/>
                <w:szCs w:val="24"/>
              </w:rPr>
              <w:t>Bike Ped</w:t>
            </w:r>
          </w:p>
          <w:p w:rsidR="004B2F52" w:rsidRPr="00B17787" w:rsidRDefault="004B2F52" w:rsidP="00DF3DE3">
            <w:pPr>
              <w:rPr>
                <w:rFonts w:ascii="Arial" w:hAnsi="Arial" w:cs="Arial"/>
                <w:sz w:val="24"/>
                <w:szCs w:val="24"/>
              </w:rPr>
            </w:pPr>
            <w:r w:rsidRPr="00B17787">
              <w:rPr>
                <w:rFonts w:ascii="Arial" w:hAnsi="Arial" w:cs="Arial"/>
                <w:sz w:val="24"/>
                <w:szCs w:val="24"/>
              </w:rPr>
              <w:t>Fatality/</w:t>
            </w:r>
          </w:p>
          <w:p w:rsidR="004B2F52" w:rsidRPr="00B17787" w:rsidRDefault="004B2F52" w:rsidP="00DF3DE3">
            <w:pPr>
              <w:rPr>
                <w:rFonts w:ascii="Arial" w:hAnsi="Arial" w:cs="Arial"/>
                <w:sz w:val="24"/>
                <w:szCs w:val="24"/>
              </w:rPr>
            </w:pPr>
            <w:r w:rsidRPr="00B17787">
              <w:rPr>
                <w:rFonts w:ascii="Arial" w:hAnsi="Arial" w:cs="Arial"/>
                <w:sz w:val="24"/>
                <w:szCs w:val="24"/>
              </w:rPr>
              <w:t xml:space="preserve">Serious </w:t>
            </w:r>
          </w:p>
          <w:p w:rsidR="004B2F52" w:rsidRPr="00B17787" w:rsidRDefault="004B2F52" w:rsidP="00DF3DE3">
            <w:pPr>
              <w:rPr>
                <w:rFonts w:ascii="Arial" w:hAnsi="Arial" w:cs="Arial"/>
                <w:sz w:val="24"/>
                <w:szCs w:val="24"/>
              </w:rPr>
            </w:pPr>
            <w:r w:rsidRPr="00B17787">
              <w:rPr>
                <w:rFonts w:ascii="Arial" w:hAnsi="Arial" w:cs="Arial"/>
                <w:sz w:val="24"/>
                <w:szCs w:val="24"/>
              </w:rPr>
              <w:t>Injuries</w:t>
            </w:r>
          </w:p>
        </w:tc>
        <w:tc>
          <w:tcPr>
            <w:tcW w:w="1057" w:type="dxa"/>
            <w:vMerge w:val="restart"/>
          </w:tcPr>
          <w:p w:rsidR="004B2F52" w:rsidRPr="00B17787" w:rsidRDefault="004B2F52" w:rsidP="00DF3DE3">
            <w:pPr>
              <w:rPr>
                <w:rFonts w:ascii="Arial" w:hAnsi="Arial" w:cs="Arial"/>
                <w:sz w:val="24"/>
                <w:szCs w:val="24"/>
              </w:rPr>
            </w:pPr>
            <w:r w:rsidRPr="00B17787">
              <w:rPr>
                <w:rFonts w:ascii="Arial" w:hAnsi="Arial" w:cs="Arial"/>
                <w:sz w:val="24"/>
                <w:szCs w:val="24"/>
              </w:rPr>
              <w:t>Bike Ped</w:t>
            </w:r>
          </w:p>
          <w:p w:rsidR="004B2F52" w:rsidRPr="00B17787" w:rsidRDefault="004B2F52" w:rsidP="00DF3DE3">
            <w:pPr>
              <w:rPr>
                <w:rFonts w:ascii="Arial" w:hAnsi="Arial" w:cs="Arial"/>
                <w:sz w:val="24"/>
                <w:szCs w:val="24"/>
              </w:rPr>
            </w:pPr>
            <w:r w:rsidRPr="00B17787">
              <w:rPr>
                <w:rFonts w:ascii="Arial" w:hAnsi="Arial" w:cs="Arial"/>
                <w:sz w:val="24"/>
                <w:szCs w:val="24"/>
              </w:rPr>
              <w:t>Fatality/</w:t>
            </w:r>
          </w:p>
          <w:p w:rsidR="004B2F52" w:rsidRPr="00B17787" w:rsidRDefault="004B2F52" w:rsidP="00DF3DE3">
            <w:pPr>
              <w:rPr>
                <w:rFonts w:ascii="Arial" w:hAnsi="Arial" w:cs="Arial"/>
                <w:sz w:val="24"/>
                <w:szCs w:val="24"/>
              </w:rPr>
            </w:pPr>
            <w:r w:rsidRPr="00B17787">
              <w:rPr>
                <w:rFonts w:ascii="Arial" w:hAnsi="Arial" w:cs="Arial"/>
                <w:sz w:val="24"/>
                <w:szCs w:val="24"/>
              </w:rPr>
              <w:t xml:space="preserve">Serious </w:t>
            </w:r>
          </w:p>
          <w:p w:rsidR="004B2F52" w:rsidRPr="00B17787" w:rsidRDefault="004B2F52" w:rsidP="00DF3DE3">
            <w:pPr>
              <w:rPr>
                <w:rFonts w:ascii="Arial" w:hAnsi="Arial" w:cs="Arial"/>
                <w:sz w:val="24"/>
                <w:szCs w:val="24"/>
              </w:rPr>
            </w:pPr>
            <w:r w:rsidRPr="00B17787">
              <w:rPr>
                <w:rFonts w:ascii="Arial" w:hAnsi="Arial" w:cs="Arial"/>
                <w:sz w:val="24"/>
                <w:szCs w:val="24"/>
              </w:rPr>
              <w:t>Injuries</w:t>
            </w:r>
          </w:p>
          <w:p w:rsidR="004B2F52" w:rsidRPr="00B17787" w:rsidRDefault="004B2F52" w:rsidP="00DF3DE3">
            <w:pPr>
              <w:rPr>
                <w:rFonts w:ascii="Arial" w:hAnsi="Arial" w:cs="Arial"/>
                <w:sz w:val="24"/>
                <w:szCs w:val="24"/>
              </w:rPr>
            </w:pPr>
            <w:r w:rsidRPr="00B17787">
              <w:rPr>
                <w:rFonts w:ascii="Arial" w:hAnsi="Arial" w:cs="Arial"/>
                <w:sz w:val="24"/>
                <w:szCs w:val="24"/>
              </w:rPr>
              <w:t>5yr MA</w:t>
            </w:r>
          </w:p>
        </w:tc>
      </w:tr>
      <w:tr w:rsidR="00B17787" w:rsidRPr="00B17787" w:rsidTr="00CF5695">
        <w:trPr>
          <w:jc w:val="center"/>
        </w:trPr>
        <w:tc>
          <w:tcPr>
            <w:tcW w:w="750" w:type="dxa"/>
            <w:vMerge/>
          </w:tcPr>
          <w:p w:rsidR="004B2F52" w:rsidRPr="00B17787" w:rsidRDefault="004B2F52" w:rsidP="00DF3DE3">
            <w:pPr>
              <w:rPr>
                <w:rFonts w:ascii="Arial" w:hAnsi="Arial" w:cs="Arial"/>
                <w:sz w:val="24"/>
                <w:szCs w:val="24"/>
              </w:rPr>
            </w:pPr>
          </w:p>
        </w:tc>
        <w:tc>
          <w:tcPr>
            <w:tcW w:w="990" w:type="dxa"/>
            <w:vMerge/>
          </w:tcPr>
          <w:p w:rsidR="004B2F52" w:rsidRPr="00B17787" w:rsidRDefault="004B2F52" w:rsidP="00DF3DE3">
            <w:pPr>
              <w:rPr>
                <w:rFonts w:ascii="Arial" w:hAnsi="Arial" w:cs="Arial"/>
                <w:sz w:val="24"/>
                <w:szCs w:val="24"/>
              </w:rPr>
            </w:pPr>
          </w:p>
        </w:tc>
        <w:tc>
          <w:tcPr>
            <w:tcW w:w="1030" w:type="dxa"/>
            <w:vMerge/>
          </w:tcPr>
          <w:p w:rsidR="004B2F52" w:rsidRPr="00B17787" w:rsidRDefault="004B2F52" w:rsidP="00DF3DE3">
            <w:pPr>
              <w:rPr>
                <w:rFonts w:ascii="Arial" w:hAnsi="Arial" w:cs="Arial"/>
                <w:sz w:val="24"/>
                <w:szCs w:val="24"/>
              </w:rPr>
            </w:pPr>
          </w:p>
        </w:tc>
        <w:tc>
          <w:tcPr>
            <w:tcW w:w="990" w:type="dxa"/>
            <w:vAlign w:val="center"/>
          </w:tcPr>
          <w:p w:rsidR="004B2F52" w:rsidRPr="00B17787" w:rsidRDefault="004B2F52" w:rsidP="00DF3DE3">
            <w:pPr>
              <w:rPr>
                <w:rFonts w:ascii="Arial" w:hAnsi="Arial" w:cs="Arial"/>
                <w:sz w:val="24"/>
                <w:szCs w:val="24"/>
              </w:rPr>
            </w:pPr>
            <w:r w:rsidRPr="00B17787">
              <w:rPr>
                <w:rFonts w:ascii="Arial" w:hAnsi="Arial" w:cs="Arial"/>
                <w:sz w:val="24"/>
                <w:szCs w:val="24"/>
              </w:rPr>
              <w:t>Fatality</w:t>
            </w:r>
          </w:p>
        </w:tc>
        <w:tc>
          <w:tcPr>
            <w:tcW w:w="1030" w:type="dxa"/>
            <w:vAlign w:val="center"/>
          </w:tcPr>
          <w:p w:rsidR="004B2F52" w:rsidRPr="00B17787" w:rsidRDefault="004B2F52" w:rsidP="00DF3DE3">
            <w:pPr>
              <w:rPr>
                <w:rFonts w:ascii="Arial" w:hAnsi="Arial" w:cs="Arial"/>
                <w:sz w:val="24"/>
                <w:szCs w:val="24"/>
              </w:rPr>
            </w:pPr>
            <w:r w:rsidRPr="00B17787">
              <w:rPr>
                <w:rFonts w:ascii="Arial" w:hAnsi="Arial" w:cs="Arial"/>
                <w:sz w:val="24"/>
                <w:szCs w:val="24"/>
              </w:rPr>
              <w:t xml:space="preserve">Serious </w:t>
            </w:r>
          </w:p>
          <w:p w:rsidR="004B2F52" w:rsidRPr="00B17787" w:rsidRDefault="004B2F52" w:rsidP="00DF3DE3">
            <w:pPr>
              <w:rPr>
                <w:rFonts w:ascii="Arial" w:hAnsi="Arial" w:cs="Arial"/>
                <w:sz w:val="24"/>
                <w:szCs w:val="24"/>
              </w:rPr>
            </w:pPr>
            <w:r w:rsidRPr="00B17787">
              <w:rPr>
                <w:rFonts w:ascii="Arial" w:hAnsi="Arial" w:cs="Arial"/>
                <w:sz w:val="24"/>
                <w:szCs w:val="24"/>
              </w:rPr>
              <w:t>Injuries</w:t>
            </w:r>
          </w:p>
        </w:tc>
        <w:tc>
          <w:tcPr>
            <w:tcW w:w="723" w:type="dxa"/>
            <w:vMerge/>
          </w:tcPr>
          <w:p w:rsidR="004B2F52" w:rsidRPr="00B17787" w:rsidRDefault="004B2F52" w:rsidP="00DF3DE3">
            <w:pPr>
              <w:rPr>
                <w:rFonts w:ascii="Arial" w:hAnsi="Arial" w:cs="Arial"/>
                <w:sz w:val="24"/>
                <w:szCs w:val="24"/>
              </w:rPr>
            </w:pPr>
          </w:p>
        </w:tc>
        <w:tc>
          <w:tcPr>
            <w:tcW w:w="990" w:type="dxa"/>
            <w:vMerge/>
          </w:tcPr>
          <w:p w:rsidR="004B2F52" w:rsidRPr="00B17787" w:rsidRDefault="004B2F52" w:rsidP="00DF3DE3">
            <w:pPr>
              <w:rPr>
                <w:rFonts w:ascii="Arial" w:hAnsi="Arial" w:cs="Arial"/>
                <w:sz w:val="24"/>
                <w:szCs w:val="24"/>
              </w:rPr>
            </w:pPr>
          </w:p>
        </w:tc>
        <w:tc>
          <w:tcPr>
            <w:tcW w:w="1030" w:type="dxa"/>
            <w:vMerge/>
          </w:tcPr>
          <w:p w:rsidR="004B2F52" w:rsidRPr="00B17787" w:rsidRDefault="004B2F52" w:rsidP="00DF3DE3">
            <w:pPr>
              <w:rPr>
                <w:rFonts w:ascii="Arial" w:hAnsi="Arial" w:cs="Arial"/>
                <w:sz w:val="24"/>
                <w:szCs w:val="24"/>
              </w:rPr>
            </w:pPr>
          </w:p>
        </w:tc>
        <w:tc>
          <w:tcPr>
            <w:tcW w:w="990" w:type="dxa"/>
            <w:vAlign w:val="center"/>
          </w:tcPr>
          <w:p w:rsidR="004B2F52" w:rsidRPr="00B17787" w:rsidRDefault="004B2F52" w:rsidP="00DF3DE3">
            <w:pPr>
              <w:rPr>
                <w:rFonts w:ascii="Arial" w:hAnsi="Arial" w:cs="Arial"/>
                <w:sz w:val="24"/>
                <w:szCs w:val="24"/>
              </w:rPr>
            </w:pPr>
            <w:r w:rsidRPr="00B17787">
              <w:rPr>
                <w:rFonts w:ascii="Arial" w:hAnsi="Arial" w:cs="Arial"/>
                <w:sz w:val="24"/>
                <w:szCs w:val="24"/>
              </w:rPr>
              <w:t xml:space="preserve">Fatality </w:t>
            </w:r>
          </w:p>
          <w:p w:rsidR="004B2F52" w:rsidRPr="00B17787" w:rsidRDefault="004B2F52" w:rsidP="00DF3DE3">
            <w:pPr>
              <w:rPr>
                <w:rFonts w:ascii="Arial" w:hAnsi="Arial" w:cs="Arial"/>
                <w:sz w:val="24"/>
                <w:szCs w:val="24"/>
              </w:rPr>
            </w:pPr>
            <w:r w:rsidRPr="00B17787">
              <w:rPr>
                <w:rFonts w:ascii="Arial" w:hAnsi="Arial" w:cs="Arial"/>
                <w:sz w:val="24"/>
                <w:szCs w:val="24"/>
              </w:rPr>
              <w:t>Rate</w:t>
            </w:r>
          </w:p>
        </w:tc>
        <w:tc>
          <w:tcPr>
            <w:tcW w:w="1030" w:type="dxa"/>
            <w:vAlign w:val="center"/>
          </w:tcPr>
          <w:p w:rsidR="004B2F52" w:rsidRPr="00B17787" w:rsidRDefault="004B2F52" w:rsidP="00DF3DE3">
            <w:pPr>
              <w:rPr>
                <w:rFonts w:ascii="Arial" w:hAnsi="Arial" w:cs="Arial"/>
                <w:sz w:val="24"/>
                <w:szCs w:val="24"/>
              </w:rPr>
            </w:pPr>
            <w:r w:rsidRPr="00B17787">
              <w:rPr>
                <w:rFonts w:ascii="Arial" w:hAnsi="Arial" w:cs="Arial"/>
                <w:sz w:val="24"/>
                <w:szCs w:val="24"/>
              </w:rPr>
              <w:t xml:space="preserve">Serious </w:t>
            </w:r>
          </w:p>
          <w:p w:rsidR="004B2F52" w:rsidRPr="00B17787" w:rsidRDefault="004B2F52" w:rsidP="00DF3DE3">
            <w:pPr>
              <w:rPr>
                <w:rFonts w:ascii="Arial" w:hAnsi="Arial" w:cs="Arial"/>
                <w:sz w:val="24"/>
                <w:szCs w:val="24"/>
              </w:rPr>
            </w:pPr>
            <w:r w:rsidRPr="00B17787">
              <w:rPr>
                <w:rFonts w:ascii="Arial" w:hAnsi="Arial" w:cs="Arial"/>
                <w:sz w:val="24"/>
                <w:szCs w:val="24"/>
              </w:rPr>
              <w:t xml:space="preserve">Injury </w:t>
            </w:r>
          </w:p>
          <w:p w:rsidR="004B2F52" w:rsidRPr="00B17787" w:rsidRDefault="004B2F52" w:rsidP="00DF3DE3">
            <w:pPr>
              <w:rPr>
                <w:rFonts w:ascii="Arial" w:hAnsi="Arial" w:cs="Arial"/>
                <w:sz w:val="24"/>
                <w:szCs w:val="24"/>
              </w:rPr>
            </w:pPr>
            <w:r w:rsidRPr="00B17787">
              <w:rPr>
                <w:rFonts w:ascii="Arial" w:hAnsi="Arial" w:cs="Arial"/>
                <w:sz w:val="24"/>
                <w:szCs w:val="24"/>
              </w:rPr>
              <w:t>Rate</w:t>
            </w:r>
          </w:p>
        </w:tc>
        <w:tc>
          <w:tcPr>
            <w:tcW w:w="1057" w:type="dxa"/>
            <w:vMerge/>
          </w:tcPr>
          <w:p w:rsidR="004B2F52" w:rsidRPr="00B17787" w:rsidRDefault="004B2F52" w:rsidP="00DF3DE3">
            <w:pPr>
              <w:rPr>
                <w:rFonts w:ascii="Arial" w:hAnsi="Arial" w:cs="Arial"/>
                <w:sz w:val="24"/>
                <w:szCs w:val="24"/>
              </w:rPr>
            </w:pPr>
          </w:p>
        </w:tc>
        <w:tc>
          <w:tcPr>
            <w:tcW w:w="1057" w:type="dxa"/>
            <w:vMerge/>
          </w:tcPr>
          <w:p w:rsidR="004B2F52" w:rsidRPr="00B17787" w:rsidRDefault="004B2F52" w:rsidP="00DF3DE3">
            <w:pPr>
              <w:rPr>
                <w:rFonts w:ascii="Arial" w:hAnsi="Arial" w:cs="Arial"/>
                <w:sz w:val="24"/>
                <w:szCs w:val="24"/>
              </w:rPr>
            </w:pPr>
          </w:p>
        </w:tc>
      </w:tr>
      <w:tr w:rsidR="00CF5695" w:rsidRPr="00B17787" w:rsidTr="00CF5695">
        <w:trPr>
          <w:trHeight w:val="548"/>
          <w:jc w:val="center"/>
        </w:trPr>
        <w:tc>
          <w:tcPr>
            <w:tcW w:w="750" w:type="dxa"/>
            <w:vAlign w:val="center"/>
          </w:tcPr>
          <w:p w:rsidR="00CF5695" w:rsidRPr="00B17787" w:rsidRDefault="00CF5695" w:rsidP="00CF5695">
            <w:pPr>
              <w:rPr>
                <w:rFonts w:ascii="Arial" w:hAnsi="Arial" w:cs="Arial"/>
                <w:sz w:val="24"/>
                <w:szCs w:val="24"/>
              </w:rPr>
            </w:pPr>
            <w:r w:rsidRPr="00B17787">
              <w:rPr>
                <w:rFonts w:ascii="Arial" w:hAnsi="Arial" w:cs="Arial"/>
                <w:sz w:val="24"/>
                <w:szCs w:val="24"/>
              </w:rPr>
              <w:t>2008</w:t>
            </w:r>
          </w:p>
        </w:tc>
        <w:tc>
          <w:tcPr>
            <w:tcW w:w="990"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60</w:t>
            </w:r>
          </w:p>
        </w:tc>
        <w:tc>
          <w:tcPr>
            <w:tcW w:w="1030"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387</w:t>
            </w:r>
          </w:p>
        </w:tc>
        <w:tc>
          <w:tcPr>
            <w:tcW w:w="990" w:type="dxa"/>
            <w:vAlign w:val="center"/>
          </w:tcPr>
          <w:p w:rsidR="00CF5695" w:rsidRPr="00CF5695" w:rsidRDefault="00CF5695" w:rsidP="00CF5695">
            <w:pPr>
              <w:rPr>
                <w:rFonts w:ascii="Arial" w:hAnsi="Arial" w:cs="Arial"/>
                <w:sz w:val="24"/>
                <w:szCs w:val="24"/>
              </w:rPr>
            </w:pPr>
          </w:p>
        </w:tc>
        <w:tc>
          <w:tcPr>
            <w:tcW w:w="1030" w:type="dxa"/>
            <w:vAlign w:val="center"/>
          </w:tcPr>
          <w:p w:rsidR="00CF5695" w:rsidRPr="00CF5695" w:rsidRDefault="00CF5695" w:rsidP="00CF5695">
            <w:pPr>
              <w:rPr>
                <w:rFonts w:ascii="Arial" w:hAnsi="Arial" w:cs="Arial"/>
                <w:sz w:val="24"/>
                <w:szCs w:val="24"/>
              </w:rPr>
            </w:pPr>
          </w:p>
        </w:tc>
        <w:tc>
          <w:tcPr>
            <w:tcW w:w="723"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69.94</w:t>
            </w:r>
          </w:p>
        </w:tc>
        <w:tc>
          <w:tcPr>
            <w:tcW w:w="990"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0.86</w:t>
            </w:r>
          </w:p>
        </w:tc>
        <w:tc>
          <w:tcPr>
            <w:tcW w:w="1030"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5.53</w:t>
            </w:r>
          </w:p>
        </w:tc>
        <w:tc>
          <w:tcPr>
            <w:tcW w:w="990" w:type="dxa"/>
            <w:vAlign w:val="center"/>
          </w:tcPr>
          <w:p w:rsidR="00CF5695" w:rsidRPr="00CF5695" w:rsidRDefault="00CF5695" w:rsidP="00CF5695">
            <w:pPr>
              <w:rPr>
                <w:rFonts w:ascii="Arial" w:hAnsi="Arial" w:cs="Arial"/>
                <w:sz w:val="24"/>
                <w:szCs w:val="24"/>
              </w:rPr>
            </w:pPr>
          </w:p>
        </w:tc>
        <w:tc>
          <w:tcPr>
            <w:tcW w:w="1030" w:type="dxa"/>
            <w:vAlign w:val="center"/>
          </w:tcPr>
          <w:p w:rsidR="00CF5695" w:rsidRPr="00CF5695" w:rsidRDefault="00CF5695" w:rsidP="00CF5695">
            <w:pPr>
              <w:rPr>
                <w:rFonts w:ascii="Arial" w:hAnsi="Arial" w:cs="Arial"/>
                <w:sz w:val="24"/>
                <w:szCs w:val="24"/>
              </w:rPr>
            </w:pPr>
          </w:p>
        </w:tc>
        <w:tc>
          <w:tcPr>
            <w:tcW w:w="1057"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51</w:t>
            </w:r>
          </w:p>
        </w:tc>
        <w:tc>
          <w:tcPr>
            <w:tcW w:w="1057" w:type="dxa"/>
            <w:vAlign w:val="center"/>
          </w:tcPr>
          <w:p w:rsidR="00CF5695" w:rsidRPr="00CF5695" w:rsidRDefault="00CF5695" w:rsidP="00CF5695">
            <w:pPr>
              <w:rPr>
                <w:rFonts w:ascii="Arial" w:hAnsi="Arial" w:cs="Arial"/>
                <w:sz w:val="24"/>
                <w:szCs w:val="24"/>
              </w:rPr>
            </w:pPr>
          </w:p>
        </w:tc>
      </w:tr>
      <w:tr w:rsidR="00CF5695" w:rsidRPr="00B17787" w:rsidTr="00CF5695">
        <w:trPr>
          <w:trHeight w:val="440"/>
          <w:jc w:val="center"/>
        </w:trPr>
        <w:tc>
          <w:tcPr>
            <w:tcW w:w="750" w:type="dxa"/>
            <w:vAlign w:val="center"/>
          </w:tcPr>
          <w:p w:rsidR="00CF5695" w:rsidRPr="00B17787" w:rsidRDefault="00CF5695" w:rsidP="00CF5695">
            <w:pPr>
              <w:rPr>
                <w:rFonts w:ascii="Arial" w:hAnsi="Arial" w:cs="Arial"/>
                <w:sz w:val="24"/>
                <w:szCs w:val="24"/>
              </w:rPr>
            </w:pPr>
            <w:r w:rsidRPr="00B17787">
              <w:rPr>
                <w:rFonts w:ascii="Arial" w:hAnsi="Arial" w:cs="Arial"/>
                <w:sz w:val="24"/>
                <w:szCs w:val="24"/>
              </w:rPr>
              <w:t>2009</w:t>
            </w:r>
          </w:p>
        </w:tc>
        <w:tc>
          <w:tcPr>
            <w:tcW w:w="990"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60</w:t>
            </w:r>
          </w:p>
        </w:tc>
        <w:tc>
          <w:tcPr>
            <w:tcW w:w="1030"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353</w:t>
            </w:r>
          </w:p>
        </w:tc>
        <w:tc>
          <w:tcPr>
            <w:tcW w:w="990" w:type="dxa"/>
            <w:vAlign w:val="center"/>
          </w:tcPr>
          <w:p w:rsidR="00CF5695" w:rsidRPr="00CF5695" w:rsidRDefault="00CF5695" w:rsidP="00CF5695">
            <w:pPr>
              <w:rPr>
                <w:rFonts w:ascii="Arial" w:hAnsi="Arial" w:cs="Arial"/>
                <w:sz w:val="24"/>
                <w:szCs w:val="24"/>
              </w:rPr>
            </w:pPr>
          </w:p>
        </w:tc>
        <w:tc>
          <w:tcPr>
            <w:tcW w:w="1030" w:type="dxa"/>
            <w:vAlign w:val="center"/>
          </w:tcPr>
          <w:p w:rsidR="00CF5695" w:rsidRPr="00CF5695" w:rsidRDefault="00CF5695" w:rsidP="00CF5695">
            <w:pPr>
              <w:rPr>
                <w:rFonts w:ascii="Arial" w:hAnsi="Arial" w:cs="Arial"/>
                <w:sz w:val="24"/>
                <w:szCs w:val="24"/>
              </w:rPr>
            </w:pPr>
          </w:p>
        </w:tc>
        <w:tc>
          <w:tcPr>
            <w:tcW w:w="723"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70.50</w:t>
            </w:r>
          </w:p>
        </w:tc>
        <w:tc>
          <w:tcPr>
            <w:tcW w:w="990"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0.85</w:t>
            </w:r>
          </w:p>
        </w:tc>
        <w:tc>
          <w:tcPr>
            <w:tcW w:w="1030"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5.01</w:t>
            </w:r>
          </w:p>
        </w:tc>
        <w:tc>
          <w:tcPr>
            <w:tcW w:w="990" w:type="dxa"/>
            <w:vAlign w:val="center"/>
          </w:tcPr>
          <w:p w:rsidR="00CF5695" w:rsidRPr="00CF5695" w:rsidRDefault="00CF5695" w:rsidP="00CF5695">
            <w:pPr>
              <w:rPr>
                <w:rFonts w:ascii="Arial" w:hAnsi="Arial" w:cs="Arial"/>
                <w:sz w:val="24"/>
                <w:szCs w:val="24"/>
              </w:rPr>
            </w:pPr>
          </w:p>
        </w:tc>
        <w:tc>
          <w:tcPr>
            <w:tcW w:w="1030" w:type="dxa"/>
            <w:vAlign w:val="center"/>
          </w:tcPr>
          <w:p w:rsidR="00CF5695" w:rsidRPr="00CF5695" w:rsidRDefault="00CF5695" w:rsidP="00CF5695">
            <w:pPr>
              <w:rPr>
                <w:rFonts w:ascii="Arial" w:hAnsi="Arial" w:cs="Arial"/>
                <w:sz w:val="24"/>
                <w:szCs w:val="24"/>
              </w:rPr>
            </w:pPr>
          </w:p>
        </w:tc>
        <w:tc>
          <w:tcPr>
            <w:tcW w:w="1057"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40</w:t>
            </w:r>
          </w:p>
        </w:tc>
        <w:tc>
          <w:tcPr>
            <w:tcW w:w="1057" w:type="dxa"/>
            <w:vAlign w:val="center"/>
          </w:tcPr>
          <w:p w:rsidR="00CF5695" w:rsidRPr="00CF5695" w:rsidRDefault="00CF5695" w:rsidP="00CF5695">
            <w:pPr>
              <w:rPr>
                <w:rFonts w:ascii="Arial" w:hAnsi="Arial" w:cs="Arial"/>
                <w:sz w:val="24"/>
                <w:szCs w:val="24"/>
              </w:rPr>
            </w:pPr>
          </w:p>
        </w:tc>
      </w:tr>
      <w:tr w:rsidR="00CF5695" w:rsidRPr="00B17787" w:rsidTr="00CF5695">
        <w:trPr>
          <w:trHeight w:val="440"/>
          <w:jc w:val="center"/>
        </w:trPr>
        <w:tc>
          <w:tcPr>
            <w:tcW w:w="750" w:type="dxa"/>
            <w:vAlign w:val="center"/>
          </w:tcPr>
          <w:p w:rsidR="00CF5695" w:rsidRPr="00B17787" w:rsidRDefault="00CF5695" w:rsidP="00CF5695">
            <w:pPr>
              <w:rPr>
                <w:rFonts w:ascii="Arial" w:hAnsi="Arial" w:cs="Arial"/>
                <w:sz w:val="24"/>
                <w:szCs w:val="24"/>
              </w:rPr>
            </w:pPr>
            <w:r w:rsidRPr="00B17787">
              <w:rPr>
                <w:rFonts w:ascii="Arial" w:hAnsi="Arial" w:cs="Arial"/>
                <w:sz w:val="24"/>
                <w:szCs w:val="24"/>
              </w:rPr>
              <w:t>2010</w:t>
            </w:r>
          </w:p>
        </w:tc>
        <w:tc>
          <w:tcPr>
            <w:tcW w:w="990"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68</w:t>
            </w:r>
          </w:p>
        </w:tc>
        <w:tc>
          <w:tcPr>
            <w:tcW w:w="1030"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327</w:t>
            </w:r>
          </w:p>
        </w:tc>
        <w:tc>
          <w:tcPr>
            <w:tcW w:w="990" w:type="dxa"/>
            <w:vAlign w:val="center"/>
          </w:tcPr>
          <w:p w:rsidR="00CF5695" w:rsidRPr="00CF5695" w:rsidRDefault="00CF5695" w:rsidP="00CF5695">
            <w:pPr>
              <w:rPr>
                <w:rFonts w:ascii="Arial" w:hAnsi="Arial" w:cs="Arial"/>
                <w:sz w:val="24"/>
                <w:szCs w:val="24"/>
              </w:rPr>
            </w:pPr>
          </w:p>
        </w:tc>
        <w:tc>
          <w:tcPr>
            <w:tcW w:w="1030" w:type="dxa"/>
            <w:vAlign w:val="center"/>
          </w:tcPr>
          <w:p w:rsidR="00CF5695" w:rsidRPr="00CF5695" w:rsidRDefault="00CF5695" w:rsidP="00CF5695">
            <w:pPr>
              <w:rPr>
                <w:rFonts w:ascii="Arial" w:hAnsi="Arial" w:cs="Arial"/>
                <w:sz w:val="24"/>
                <w:szCs w:val="24"/>
              </w:rPr>
            </w:pPr>
          </w:p>
        </w:tc>
        <w:tc>
          <w:tcPr>
            <w:tcW w:w="723"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71.07</w:t>
            </w:r>
          </w:p>
        </w:tc>
        <w:tc>
          <w:tcPr>
            <w:tcW w:w="990"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0.96</w:t>
            </w:r>
          </w:p>
        </w:tc>
        <w:tc>
          <w:tcPr>
            <w:tcW w:w="1030"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4.6</w:t>
            </w:r>
          </w:p>
        </w:tc>
        <w:tc>
          <w:tcPr>
            <w:tcW w:w="990" w:type="dxa"/>
            <w:vAlign w:val="center"/>
          </w:tcPr>
          <w:p w:rsidR="00CF5695" w:rsidRPr="00CF5695" w:rsidRDefault="00CF5695" w:rsidP="00CF5695">
            <w:pPr>
              <w:rPr>
                <w:rFonts w:ascii="Arial" w:hAnsi="Arial" w:cs="Arial"/>
                <w:sz w:val="24"/>
                <w:szCs w:val="24"/>
              </w:rPr>
            </w:pPr>
          </w:p>
        </w:tc>
        <w:tc>
          <w:tcPr>
            <w:tcW w:w="1030" w:type="dxa"/>
            <w:vAlign w:val="center"/>
          </w:tcPr>
          <w:p w:rsidR="00CF5695" w:rsidRPr="00CF5695" w:rsidRDefault="00CF5695" w:rsidP="00CF5695">
            <w:pPr>
              <w:rPr>
                <w:rFonts w:ascii="Arial" w:hAnsi="Arial" w:cs="Arial"/>
                <w:sz w:val="24"/>
                <w:szCs w:val="24"/>
              </w:rPr>
            </w:pPr>
          </w:p>
        </w:tc>
        <w:tc>
          <w:tcPr>
            <w:tcW w:w="1057"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52</w:t>
            </w:r>
          </w:p>
        </w:tc>
        <w:tc>
          <w:tcPr>
            <w:tcW w:w="1057" w:type="dxa"/>
            <w:vAlign w:val="center"/>
          </w:tcPr>
          <w:p w:rsidR="00CF5695" w:rsidRPr="00CF5695" w:rsidRDefault="00CF5695" w:rsidP="00CF5695">
            <w:pPr>
              <w:rPr>
                <w:rFonts w:ascii="Arial" w:hAnsi="Arial" w:cs="Arial"/>
                <w:sz w:val="24"/>
                <w:szCs w:val="24"/>
              </w:rPr>
            </w:pPr>
          </w:p>
        </w:tc>
      </w:tr>
      <w:tr w:rsidR="00CF5695" w:rsidRPr="00B17787" w:rsidTr="00CF5695">
        <w:trPr>
          <w:trHeight w:val="530"/>
          <w:jc w:val="center"/>
        </w:trPr>
        <w:tc>
          <w:tcPr>
            <w:tcW w:w="750" w:type="dxa"/>
            <w:vAlign w:val="center"/>
          </w:tcPr>
          <w:p w:rsidR="00CF5695" w:rsidRPr="00B17787" w:rsidRDefault="00CF5695" w:rsidP="00CF5695">
            <w:pPr>
              <w:rPr>
                <w:rFonts w:ascii="Arial" w:hAnsi="Arial" w:cs="Arial"/>
                <w:sz w:val="24"/>
                <w:szCs w:val="24"/>
              </w:rPr>
            </w:pPr>
            <w:r w:rsidRPr="00B17787">
              <w:rPr>
                <w:rFonts w:ascii="Arial" w:hAnsi="Arial" w:cs="Arial"/>
                <w:sz w:val="24"/>
                <w:szCs w:val="24"/>
              </w:rPr>
              <w:t>2011</w:t>
            </w:r>
          </w:p>
        </w:tc>
        <w:tc>
          <w:tcPr>
            <w:tcW w:w="990"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43</w:t>
            </w:r>
          </w:p>
        </w:tc>
        <w:tc>
          <w:tcPr>
            <w:tcW w:w="1030"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346</w:t>
            </w:r>
          </w:p>
        </w:tc>
        <w:tc>
          <w:tcPr>
            <w:tcW w:w="990" w:type="dxa"/>
            <w:vAlign w:val="center"/>
          </w:tcPr>
          <w:p w:rsidR="00CF5695" w:rsidRPr="00CF5695" w:rsidRDefault="00CF5695" w:rsidP="00CF5695">
            <w:pPr>
              <w:rPr>
                <w:rFonts w:ascii="Arial" w:hAnsi="Arial" w:cs="Arial"/>
                <w:sz w:val="24"/>
                <w:szCs w:val="24"/>
              </w:rPr>
            </w:pPr>
          </w:p>
        </w:tc>
        <w:tc>
          <w:tcPr>
            <w:tcW w:w="1030" w:type="dxa"/>
            <w:vAlign w:val="center"/>
          </w:tcPr>
          <w:p w:rsidR="00CF5695" w:rsidRPr="00CF5695" w:rsidRDefault="00CF5695" w:rsidP="00CF5695">
            <w:pPr>
              <w:rPr>
                <w:rFonts w:ascii="Arial" w:hAnsi="Arial" w:cs="Arial"/>
                <w:sz w:val="24"/>
                <w:szCs w:val="24"/>
              </w:rPr>
            </w:pPr>
          </w:p>
        </w:tc>
        <w:tc>
          <w:tcPr>
            <w:tcW w:w="723"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71.36</w:t>
            </w:r>
          </w:p>
        </w:tc>
        <w:tc>
          <w:tcPr>
            <w:tcW w:w="990"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0.6</w:t>
            </w:r>
          </w:p>
        </w:tc>
        <w:tc>
          <w:tcPr>
            <w:tcW w:w="1030"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4.85</w:t>
            </w:r>
          </w:p>
        </w:tc>
        <w:tc>
          <w:tcPr>
            <w:tcW w:w="990" w:type="dxa"/>
            <w:vAlign w:val="center"/>
          </w:tcPr>
          <w:p w:rsidR="00CF5695" w:rsidRPr="00CF5695" w:rsidRDefault="00CF5695" w:rsidP="00CF5695">
            <w:pPr>
              <w:rPr>
                <w:rFonts w:ascii="Arial" w:hAnsi="Arial" w:cs="Arial"/>
                <w:sz w:val="24"/>
                <w:szCs w:val="24"/>
              </w:rPr>
            </w:pPr>
          </w:p>
        </w:tc>
        <w:tc>
          <w:tcPr>
            <w:tcW w:w="1030" w:type="dxa"/>
            <w:vAlign w:val="center"/>
          </w:tcPr>
          <w:p w:rsidR="00CF5695" w:rsidRPr="00CF5695" w:rsidRDefault="00CF5695" w:rsidP="00CF5695">
            <w:pPr>
              <w:rPr>
                <w:rFonts w:ascii="Arial" w:hAnsi="Arial" w:cs="Arial"/>
                <w:sz w:val="24"/>
                <w:szCs w:val="24"/>
              </w:rPr>
            </w:pPr>
          </w:p>
        </w:tc>
        <w:tc>
          <w:tcPr>
            <w:tcW w:w="1057"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43</w:t>
            </w:r>
          </w:p>
        </w:tc>
        <w:tc>
          <w:tcPr>
            <w:tcW w:w="1057" w:type="dxa"/>
            <w:vAlign w:val="center"/>
          </w:tcPr>
          <w:p w:rsidR="00CF5695" w:rsidRPr="00CF5695" w:rsidRDefault="00CF5695" w:rsidP="00CF5695">
            <w:pPr>
              <w:rPr>
                <w:rFonts w:ascii="Arial" w:hAnsi="Arial" w:cs="Arial"/>
                <w:sz w:val="24"/>
                <w:szCs w:val="24"/>
              </w:rPr>
            </w:pPr>
          </w:p>
        </w:tc>
      </w:tr>
      <w:tr w:rsidR="00CF5695" w:rsidRPr="00B17787" w:rsidTr="00CF5695">
        <w:trPr>
          <w:trHeight w:val="440"/>
          <w:jc w:val="center"/>
        </w:trPr>
        <w:tc>
          <w:tcPr>
            <w:tcW w:w="750" w:type="dxa"/>
            <w:vAlign w:val="center"/>
          </w:tcPr>
          <w:p w:rsidR="00CF5695" w:rsidRPr="00B17787" w:rsidRDefault="00CF5695" w:rsidP="00CF5695">
            <w:pPr>
              <w:rPr>
                <w:rFonts w:ascii="Arial" w:hAnsi="Arial" w:cs="Arial"/>
                <w:sz w:val="24"/>
                <w:szCs w:val="24"/>
              </w:rPr>
            </w:pPr>
            <w:r w:rsidRPr="00B17787">
              <w:rPr>
                <w:rFonts w:ascii="Arial" w:hAnsi="Arial" w:cs="Arial"/>
                <w:sz w:val="24"/>
                <w:szCs w:val="24"/>
              </w:rPr>
              <w:t>2012</w:t>
            </w:r>
          </w:p>
        </w:tc>
        <w:tc>
          <w:tcPr>
            <w:tcW w:w="990"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49</w:t>
            </w:r>
          </w:p>
        </w:tc>
        <w:tc>
          <w:tcPr>
            <w:tcW w:w="1030"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340</w:t>
            </w:r>
          </w:p>
        </w:tc>
        <w:tc>
          <w:tcPr>
            <w:tcW w:w="990"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56</w:t>
            </w:r>
          </w:p>
        </w:tc>
        <w:tc>
          <w:tcPr>
            <w:tcW w:w="1030"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350.6</w:t>
            </w:r>
          </w:p>
        </w:tc>
        <w:tc>
          <w:tcPr>
            <w:tcW w:w="723"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71.65</w:t>
            </w:r>
          </w:p>
        </w:tc>
        <w:tc>
          <w:tcPr>
            <w:tcW w:w="990"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0.68</w:t>
            </w:r>
          </w:p>
        </w:tc>
        <w:tc>
          <w:tcPr>
            <w:tcW w:w="1030"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4.75</w:t>
            </w:r>
          </w:p>
        </w:tc>
        <w:tc>
          <w:tcPr>
            <w:tcW w:w="990"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0.79</w:t>
            </w:r>
          </w:p>
        </w:tc>
        <w:tc>
          <w:tcPr>
            <w:tcW w:w="1030"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4.95</w:t>
            </w:r>
          </w:p>
        </w:tc>
        <w:tc>
          <w:tcPr>
            <w:tcW w:w="1057"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58</w:t>
            </w:r>
          </w:p>
        </w:tc>
        <w:tc>
          <w:tcPr>
            <w:tcW w:w="1057"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48.8</w:t>
            </w:r>
          </w:p>
        </w:tc>
      </w:tr>
      <w:tr w:rsidR="00CF5695" w:rsidRPr="00B17787" w:rsidTr="00CF5695">
        <w:trPr>
          <w:trHeight w:val="530"/>
          <w:jc w:val="center"/>
        </w:trPr>
        <w:tc>
          <w:tcPr>
            <w:tcW w:w="750" w:type="dxa"/>
            <w:vAlign w:val="center"/>
          </w:tcPr>
          <w:p w:rsidR="00CF5695" w:rsidRPr="00B17787" w:rsidRDefault="00CF5695" w:rsidP="00CF5695">
            <w:pPr>
              <w:rPr>
                <w:rFonts w:ascii="Arial" w:hAnsi="Arial" w:cs="Arial"/>
                <w:sz w:val="24"/>
                <w:szCs w:val="24"/>
              </w:rPr>
            </w:pPr>
            <w:r w:rsidRPr="00B17787">
              <w:rPr>
                <w:rFonts w:ascii="Arial" w:hAnsi="Arial" w:cs="Arial"/>
                <w:sz w:val="24"/>
                <w:szCs w:val="24"/>
              </w:rPr>
              <w:t>2013</w:t>
            </w:r>
          </w:p>
        </w:tc>
        <w:tc>
          <w:tcPr>
            <w:tcW w:w="990"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50</w:t>
            </w:r>
          </w:p>
        </w:tc>
        <w:tc>
          <w:tcPr>
            <w:tcW w:w="1030"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324</w:t>
            </w:r>
          </w:p>
        </w:tc>
        <w:tc>
          <w:tcPr>
            <w:tcW w:w="990"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54</w:t>
            </w:r>
          </w:p>
        </w:tc>
        <w:tc>
          <w:tcPr>
            <w:tcW w:w="1030"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338</w:t>
            </w:r>
          </w:p>
        </w:tc>
        <w:tc>
          <w:tcPr>
            <w:tcW w:w="723"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71.94</w:t>
            </w:r>
          </w:p>
        </w:tc>
        <w:tc>
          <w:tcPr>
            <w:tcW w:w="990"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0.7</w:t>
            </w:r>
          </w:p>
        </w:tc>
        <w:tc>
          <w:tcPr>
            <w:tcW w:w="1030"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4.5</w:t>
            </w:r>
          </w:p>
        </w:tc>
        <w:tc>
          <w:tcPr>
            <w:tcW w:w="990"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0.76</w:t>
            </w:r>
          </w:p>
        </w:tc>
        <w:tc>
          <w:tcPr>
            <w:tcW w:w="1030"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4.74</w:t>
            </w:r>
          </w:p>
        </w:tc>
        <w:tc>
          <w:tcPr>
            <w:tcW w:w="1057"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61</w:t>
            </w:r>
          </w:p>
        </w:tc>
        <w:tc>
          <w:tcPr>
            <w:tcW w:w="1057"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50.8</w:t>
            </w:r>
          </w:p>
        </w:tc>
      </w:tr>
      <w:tr w:rsidR="00CF5695" w:rsidRPr="00B17787" w:rsidTr="00CF5695">
        <w:trPr>
          <w:trHeight w:val="620"/>
          <w:jc w:val="center"/>
        </w:trPr>
        <w:tc>
          <w:tcPr>
            <w:tcW w:w="750" w:type="dxa"/>
            <w:vAlign w:val="center"/>
          </w:tcPr>
          <w:p w:rsidR="00CF5695" w:rsidRPr="00B17787" w:rsidRDefault="00CF5695" w:rsidP="00CF5695">
            <w:pPr>
              <w:rPr>
                <w:rFonts w:ascii="Arial" w:hAnsi="Arial" w:cs="Arial"/>
                <w:sz w:val="24"/>
                <w:szCs w:val="24"/>
              </w:rPr>
            </w:pPr>
            <w:r w:rsidRPr="00B17787">
              <w:rPr>
                <w:rFonts w:ascii="Arial" w:hAnsi="Arial" w:cs="Arial"/>
                <w:sz w:val="24"/>
                <w:szCs w:val="24"/>
              </w:rPr>
              <w:t>2014</w:t>
            </w:r>
          </w:p>
        </w:tc>
        <w:tc>
          <w:tcPr>
            <w:tcW w:w="990"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58</w:t>
            </w:r>
          </w:p>
        </w:tc>
        <w:tc>
          <w:tcPr>
            <w:tcW w:w="1030"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298</w:t>
            </w:r>
          </w:p>
        </w:tc>
        <w:tc>
          <w:tcPr>
            <w:tcW w:w="990"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53.6</w:t>
            </w:r>
          </w:p>
        </w:tc>
        <w:tc>
          <w:tcPr>
            <w:tcW w:w="1030"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327</w:t>
            </w:r>
          </w:p>
        </w:tc>
        <w:tc>
          <w:tcPr>
            <w:tcW w:w="723"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72.23</w:t>
            </w:r>
          </w:p>
        </w:tc>
        <w:tc>
          <w:tcPr>
            <w:tcW w:w="990"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0.8</w:t>
            </w:r>
          </w:p>
        </w:tc>
        <w:tc>
          <w:tcPr>
            <w:tcW w:w="1030"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4.13</w:t>
            </w:r>
          </w:p>
        </w:tc>
        <w:tc>
          <w:tcPr>
            <w:tcW w:w="990"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0.75</w:t>
            </w:r>
          </w:p>
        </w:tc>
        <w:tc>
          <w:tcPr>
            <w:tcW w:w="1030"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4.57</w:t>
            </w:r>
          </w:p>
        </w:tc>
        <w:tc>
          <w:tcPr>
            <w:tcW w:w="1057"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47</w:t>
            </w:r>
          </w:p>
        </w:tc>
        <w:tc>
          <w:tcPr>
            <w:tcW w:w="1057"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52.2</w:t>
            </w:r>
          </w:p>
        </w:tc>
      </w:tr>
      <w:tr w:rsidR="00CF5695" w:rsidRPr="00B17787" w:rsidTr="00CF5695">
        <w:trPr>
          <w:trHeight w:val="620"/>
          <w:jc w:val="center"/>
        </w:trPr>
        <w:tc>
          <w:tcPr>
            <w:tcW w:w="750" w:type="dxa"/>
            <w:vAlign w:val="center"/>
          </w:tcPr>
          <w:p w:rsidR="00CF5695" w:rsidRPr="00B17787" w:rsidRDefault="00CF5695" w:rsidP="00CF5695">
            <w:pPr>
              <w:rPr>
                <w:rFonts w:ascii="Arial" w:hAnsi="Arial" w:cs="Arial"/>
                <w:sz w:val="24"/>
                <w:szCs w:val="24"/>
              </w:rPr>
            </w:pPr>
            <w:r w:rsidRPr="00B17787">
              <w:rPr>
                <w:rFonts w:ascii="Arial" w:hAnsi="Arial" w:cs="Arial"/>
                <w:sz w:val="24"/>
                <w:szCs w:val="24"/>
              </w:rPr>
              <w:t>2015</w:t>
            </w:r>
          </w:p>
        </w:tc>
        <w:tc>
          <w:tcPr>
            <w:tcW w:w="990"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71</w:t>
            </w:r>
          </w:p>
        </w:tc>
        <w:tc>
          <w:tcPr>
            <w:tcW w:w="1030"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370</w:t>
            </w:r>
          </w:p>
        </w:tc>
        <w:tc>
          <w:tcPr>
            <w:tcW w:w="990"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54.2</w:t>
            </w:r>
          </w:p>
        </w:tc>
        <w:tc>
          <w:tcPr>
            <w:tcW w:w="1030"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335.6</w:t>
            </w:r>
          </w:p>
        </w:tc>
        <w:tc>
          <w:tcPr>
            <w:tcW w:w="723"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72.53</w:t>
            </w:r>
          </w:p>
        </w:tc>
        <w:tc>
          <w:tcPr>
            <w:tcW w:w="990"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0.98</w:t>
            </w:r>
          </w:p>
        </w:tc>
        <w:tc>
          <w:tcPr>
            <w:tcW w:w="1030"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5.1</w:t>
            </w:r>
          </w:p>
        </w:tc>
        <w:tc>
          <w:tcPr>
            <w:tcW w:w="990"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0.75</w:t>
            </w:r>
          </w:p>
        </w:tc>
        <w:tc>
          <w:tcPr>
            <w:tcW w:w="1030"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4.67</w:t>
            </w:r>
          </w:p>
        </w:tc>
        <w:tc>
          <w:tcPr>
            <w:tcW w:w="1057"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72</w:t>
            </w:r>
          </w:p>
        </w:tc>
        <w:tc>
          <w:tcPr>
            <w:tcW w:w="1057"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56.2</w:t>
            </w:r>
          </w:p>
        </w:tc>
      </w:tr>
      <w:tr w:rsidR="00CF5695" w:rsidRPr="00B17787" w:rsidTr="00CF5695">
        <w:trPr>
          <w:trHeight w:val="620"/>
          <w:jc w:val="center"/>
        </w:trPr>
        <w:tc>
          <w:tcPr>
            <w:tcW w:w="750" w:type="dxa"/>
            <w:vAlign w:val="center"/>
          </w:tcPr>
          <w:p w:rsidR="00CF5695" w:rsidRPr="00B17787" w:rsidRDefault="00CF5695" w:rsidP="00CF5695">
            <w:pPr>
              <w:rPr>
                <w:rFonts w:ascii="Arial" w:hAnsi="Arial" w:cs="Arial"/>
                <w:sz w:val="24"/>
                <w:szCs w:val="24"/>
              </w:rPr>
            </w:pPr>
            <w:r w:rsidRPr="00B17787">
              <w:rPr>
                <w:rFonts w:ascii="Arial" w:hAnsi="Arial" w:cs="Arial"/>
                <w:sz w:val="24"/>
                <w:szCs w:val="24"/>
              </w:rPr>
              <w:t>2016</w:t>
            </w:r>
          </w:p>
        </w:tc>
        <w:tc>
          <w:tcPr>
            <w:tcW w:w="990"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62</w:t>
            </w:r>
          </w:p>
        </w:tc>
        <w:tc>
          <w:tcPr>
            <w:tcW w:w="1030"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471</w:t>
            </w:r>
          </w:p>
        </w:tc>
        <w:tc>
          <w:tcPr>
            <w:tcW w:w="990"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58</w:t>
            </w:r>
          </w:p>
        </w:tc>
        <w:tc>
          <w:tcPr>
            <w:tcW w:w="1030"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360.6</w:t>
            </w:r>
          </w:p>
        </w:tc>
        <w:tc>
          <w:tcPr>
            <w:tcW w:w="723"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72.82</w:t>
            </w:r>
          </w:p>
        </w:tc>
        <w:tc>
          <w:tcPr>
            <w:tcW w:w="990"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0.85</w:t>
            </w:r>
          </w:p>
        </w:tc>
        <w:tc>
          <w:tcPr>
            <w:tcW w:w="1030"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6.47</w:t>
            </w:r>
          </w:p>
        </w:tc>
        <w:tc>
          <w:tcPr>
            <w:tcW w:w="990" w:type="dxa"/>
            <w:vAlign w:val="center"/>
          </w:tcPr>
          <w:p w:rsidR="00CF5695" w:rsidRPr="00CF5695" w:rsidRDefault="00CF5695" w:rsidP="00CF5695">
            <w:pPr>
              <w:rPr>
                <w:rFonts w:ascii="Arial" w:hAnsi="Arial" w:cs="Arial"/>
                <w:color w:val="000000" w:themeColor="text1"/>
                <w:sz w:val="24"/>
                <w:szCs w:val="24"/>
              </w:rPr>
            </w:pPr>
            <w:r w:rsidRPr="00CF5695">
              <w:rPr>
                <w:rFonts w:ascii="Arial" w:hAnsi="Arial" w:cs="Arial"/>
                <w:color w:val="000000" w:themeColor="text1"/>
                <w:sz w:val="24"/>
                <w:szCs w:val="24"/>
              </w:rPr>
              <w:t>0.8</w:t>
            </w:r>
          </w:p>
        </w:tc>
        <w:tc>
          <w:tcPr>
            <w:tcW w:w="1030" w:type="dxa"/>
            <w:vAlign w:val="center"/>
          </w:tcPr>
          <w:p w:rsidR="00CF5695" w:rsidRPr="00CF5695" w:rsidRDefault="00CF5695" w:rsidP="00CF5695">
            <w:pPr>
              <w:rPr>
                <w:rFonts w:ascii="Arial" w:hAnsi="Arial" w:cs="Arial"/>
                <w:color w:val="000000" w:themeColor="text1"/>
                <w:sz w:val="24"/>
                <w:szCs w:val="24"/>
              </w:rPr>
            </w:pPr>
            <w:r w:rsidRPr="00CF5695">
              <w:rPr>
                <w:rFonts w:ascii="Arial" w:hAnsi="Arial" w:cs="Arial"/>
                <w:color w:val="000000" w:themeColor="text1"/>
                <w:sz w:val="24"/>
                <w:szCs w:val="24"/>
              </w:rPr>
              <w:t>4.99</w:t>
            </w:r>
          </w:p>
        </w:tc>
        <w:tc>
          <w:tcPr>
            <w:tcW w:w="1057"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64</w:t>
            </w:r>
          </w:p>
        </w:tc>
        <w:tc>
          <w:tcPr>
            <w:tcW w:w="1057" w:type="dxa"/>
            <w:vAlign w:val="center"/>
          </w:tcPr>
          <w:p w:rsidR="00CF5695" w:rsidRPr="00CF5695" w:rsidRDefault="00CF5695" w:rsidP="00CF5695">
            <w:pPr>
              <w:rPr>
                <w:rFonts w:ascii="Arial" w:hAnsi="Arial" w:cs="Arial"/>
                <w:sz w:val="24"/>
                <w:szCs w:val="24"/>
              </w:rPr>
            </w:pPr>
            <w:r w:rsidRPr="00CF5695">
              <w:rPr>
                <w:rFonts w:ascii="Arial" w:hAnsi="Arial" w:cs="Arial"/>
                <w:sz w:val="24"/>
                <w:szCs w:val="24"/>
              </w:rPr>
              <w:t>60.4</w:t>
            </w:r>
          </w:p>
        </w:tc>
      </w:tr>
      <w:tr w:rsidR="004B2F52" w:rsidRPr="00B17787" w:rsidTr="00CF5695">
        <w:trPr>
          <w:trHeight w:val="620"/>
          <w:jc w:val="center"/>
        </w:trPr>
        <w:tc>
          <w:tcPr>
            <w:tcW w:w="7533" w:type="dxa"/>
            <w:gridSpan w:val="8"/>
            <w:vAlign w:val="center"/>
          </w:tcPr>
          <w:p w:rsidR="004B2F52" w:rsidRPr="00B17787" w:rsidRDefault="004B2F52" w:rsidP="00DF3DE3">
            <w:pPr>
              <w:rPr>
                <w:rFonts w:ascii="Arial" w:hAnsi="Arial" w:cs="Arial"/>
                <w:sz w:val="24"/>
                <w:szCs w:val="24"/>
              </w:rPr>
            </w:pPr>
            <w:r w:rsidRPr="00B17787">
              <w:rPr>
                <w:rFonts w:ascii="Arial" w:hAnsi="Arial" w:cs="Arial"/>
                <w:sz w:val="24"/>
                <w:szCs w:val="24"/>
              </w:rPr>
              <w:t>2016 Michigan State</w:t>
            </w:r>
          </w:p>
        </w:tc>
        <w:tc>
          <w:tcPr>
            <w:tcW w:w="990" w:type="dxa"/>
            <w:vAlign w:val="center"/>
          </w:tcPr>
          <w:p w:rsidR="004B2F52" w:rsidRPr="00B17787" w:rsidRDefault="004B2F52" w:rsidP="00DF3DE3">
            <w:pPr>
              <w:rPr>
                <w:rFonts w:ascii="Arial" w:hAnsi="Arial" w:cs="Arial"/>
                <w:color w:val="FF0000"/>
                <w:sz w:val="24"/>
                <w:szCs w:val="24"/>
              </w:rPr>
            </w:pPr>
            <w:r w:rsidRPr="00B17787">
              <w:rPr>
                <w:rFonts w:ascii="Arial" w:hAnsi="Arial" w:cs="Arial"/>
                <w:color w:val="FF0000"/>
                <w:sz w:val="24"/>
                <w:szCs w:val="24"/>
              </w:rPr>
              <w:t>1.00</w:t>
            </w:r>
          </w:p>
        </w:tc>
        <w:tc>
          <w:tcPr>
            <w:tcW w:w="1030" w:type="dxa"/>
            <w:vAlign w:val="center"/>
          </w:tcPr>
          <w:p w:rsidR="004B2F52" w:rsidRPr="00B17787" w:rsidRDefault="004B2F52" w:rsidP="00DF3DE3">
            <w:pPr>
              <w:rPr>
                <w:rFonts w:ascii="Arial" w:hAnsi="Arial" w:cs="Arial"/>
                <w:color w:val="FF0000"/>
                <w:sz w:val="24"/>
                <w:szCs w:val="24"/>
              </w:rPr>
            </w:pPr>
            <w:r w:rsidRPr="00B17787">
              <w:rPr>
                <w:rFonts w:ascii="Arial" w:hAnsi="Arial" w:cs="Arial"/>
                <w:color w:val="FF0000"/>
                <w:sz w:val="24"/>
                <w:szCs w:val="24"/>
              </w:rPr>
              <w:t>5.47</w:t>
            </w:r>
          </w:p>
        </w:tc>
        <w:tc>
          <w:tcPr>
            <w:tcW w:w="1057" w:type="dxa"/>
            <w:vAlign w:val="center"/>
          </w:tcPr>
          <w:p w:rsidR="004B2F52" w:rsidRPr="00B17787" w:rsidRDefault="004B2F52" w:rsidP="00DF3DE3">
            <w:pPr>
              <w:rPr>
                <w:rFonts w:ascii="Arial" w:hAnsi="Arial" w:cs="Arial"/>
                <w:sz w:val="24"/>
                <w:szCs w:val="24"/>
              </w:rPr>
            </w:pPr>
          </w:p>
        </w:tc>
        <w:tc>
          <w:tcPr>
            <w:tcW w:w="1057" w:type="dxa"/>
            <w:vAlign w:val="center"/>
          </w:tcPr>
          <w:p w:rsidR="004B2F52" w:rsidRPr="00B17787" w:rsidRDefault="004B2F52" w:rsidP="00DF3DE3">
            <w:pPr>
              <w:rPr>
                <w:rFonts w:ascii="Arial" w:hAnsi="Arial" w:cs="Arial"/>
                <w:sz w:val="24"/>
                <w:szCs w:val="24"/>
              </w:rPr>
            </w:pPr>
          </w:p>
        </w:tc>
      </w:tr>
      <w:tr w:rsidR="004B2F52" w:rsidRPr="00B17787" w:rsidTr="00CF5695">
        <w:trPr>
          <w:trHeight w:val="620"/>
          <w:jc w:val="center"/>
        </w:trPr>
        <w:tc>
          <w:tcPr>
            <w:tcW w:w="7533" w:type="dxa"/>
            <w:gridSpan w:val="8"/>
            <w:vAlign w:val="center"/>
          </w:tcPr>
          <w:p w:rsidR="004B2F52" w:rsidRPr="00B17787" w:rsidRDefault="004B2F52" w:rsidP="00DF3DE3">
            <w:pPr>
              <w:rPr>
                <w:rFonts w:ascii="Arial" w:hAnsi="Arial" w:cs="Arial"/>
                <w:sz w:val="24"/>
                <w:szCs w:val="24"/>
              </w:rPr>
            </w:pPr>
            <w:r w:rsidRPr="00B17787">
              <w:rPr>
                <w:rFonts w:ascii="Arial" w:hAnsi="Arial" w:cs="Arial"/>
                <w:sz w:val="24"/>
                <w:szCs w:val="24"/>
              </w:rPr>
              <w:t>2018 State Target</w:t>
            </w:r>
          </w:p>
        </w:tc>
        <w:tc>
          <w:tcPr>
            <w:tcW w:w="990" w:type="dxa"/>
            <w:vAlign w:val="center"/>
          </w:tcPr>
          <w:p w:rsidR="004B2F52" w:rsidRPr="00B17787" w:rsidRDefault="004B2F52" w:rsidP="00DF3DE3">
            <w:pPr>
              <w:rPr>
                <w:rFonts w:ascii="Arial" w:hAnsi="Arial" w:cs="Arial"/>
                <w:color w:val="FF0000"/>
                <w:sz w:val="24"/>
                <w:szCs w:val="24"/>
              </w:rPr>
            </w:pPr>
            <w:r w:rsidRPr="00B17787">
              <w:rPr>
                <w:rFonts w:ascii="Arial" w:hAnsi="Arial" w:cs="Arial"/>
                <w:color w:val="FF0000"/>
                <w:sz w:val="24"/>
                <w:szCs w:val="24"/>
              </w:rPr>
              <w:t>1.02</w:t>
            </w:r>
          </w:p>
        </w:tc>
        <w:tc>
          <w:tcPr>
            <w:tcW w:w="1030" w:type="dxa"/>
            <w:vAlign w:val="center"/>
          </w:tcPr>
          <w:p w:rsidR="004B2F52" w:rsidRPr="00B17787" w:rsidRDefault="004B2F52" w:rsidP="00DF3DE3">
            <w:pPr>
              <w:rPr>
                <w:rFonts w:ascii="Arial" w:hAnsi="Arial" w:cs="Arial"/>
                <w:color w:val="FF0000"/>
                <w:sz w:val="24"/>
                <w:szCs w:val="24"/>
              </w:rPr>
            </w:pPr>
            <w:r w:rsidRPr="00B17787">
              <w:rPr>
                <w:rFonts w:ascii="Arial" w:hAnsi="Arial" w:cs="Arial"/>
                <w:color w:val="FF0000"/>
                <w:sz w:val="24"/>
                <w:szCs w:val="24"/>
              </w:rPr>
              <w:t>5.23</w:t>
            </w:r>
          </w:p>
        </w:tc>
        <w:tc>
          <w:tcPr>
            <w:tcW w:w="1057" w:type="dxa"/>
            <w:vAlign w:val="center"/>
          </w:tcPr>
          <w:p w:rsidR="004B2F52" w:rsidRPr="00B17787" w:rsidRDefault="004B2F52" w:rsidP="00DF3DE3">
            <w:pPr>
              <w:rPr>
                <w:rFonts w:ascii="Arial" w:hAnsi="Arial" w:cs="Arial"/>
                <w:sz w:val="24"/>
                <w:szCs w:val="24"/>
              </w:rPr>
            </w:pPr>
          </w:p>
        </w:tc>
        <w:tc>
          <w:tcPr>
            <w:tcW w:w="1057" w:type="dxa"/>
            <w:vAlign w:val="center"/>
          </w:tcPr>
          <w:p w:rsidR="004B2F52" w:rsidRPr="00B17787" w:rsidRDefault="004B2F52" w:rsidP="00DF3DE3">
            <w:pPr>
              <w:rPr>
                <w:rFonts w:ascii="Arial" w:hAnsi="Arial" w:cs="Arial"/>
                <w:sz w:val="24"/>
                <w:szCs w:val="24"/>
              </w:rPr>
            </w:pPr>
          </w:p>
        </w:tc>
      </w:tr>
    </w:tbl>
    <w:p w:rsidR="001C363C" w:rsidRPr="00B17787" w:rsidRDefault="001C363C" w:rsidP="00DF3DE3">
      <w:pPr>
        <w:spacing w:line="240" w:lineRule="auto"/>
        <w:rPr>
          <w:rFonts w:ascii="Arial" w:eastAsia="Calibri" w:hAnsi="Arial" w:cs="Arial"/>
          <w:sz w:val="24"/>
          <w:szCs w:val="24"/>
        </w:rPr>
        <w:sectPr w:rsidR="001C363C" w:rsidRPr="00B17787" w:rsidSect="00996BB5">
          <w:pgSz w:w="15840" w:h="12240" w:orient="landscape"/>
          <w:pgMar w:top="1440" w:right="1440" w:bottom="1440" w:left="1440" w:header="720" w:footer="720" w:gutter="0"/>
          <w:cols w:space="720"/>
          <w:docGrid w:linePitch="360"/>
        </w:sectPr>
      </w:pPr>
    </w:p>
    <w:p w:rsidR="00E604EE" w:rsidRPr="00B17787" w:rsidRDefault="00CF5695" w:rsidP="00DF3DE3">
      <w:pPr>
        <w:spacing w:line="240" w:lineRule="auto"/>
        <w:rPr>
          <w:rFonts w:ascii="Arial" w:eastAsia="Calibri" w:hAnsi="Arial" w:cs="Arial"/>
          <w:sz w:val="24"/>
          <w:szCs w:val="24"/>
        </w:rPr>
      </w:pPr>
      <w:r>
        <w:rPr>
          <w:noProof/>
        </w:rPr>
        <w:lastRenderedPageBreak/>
        <w:drawing>
          <wp:inline distT="0" distB="0" distL="0" distR="0" wp14:anchorId="5C5E9AB4" wp14:editId="2A3F0769">
            <wp:extent cx="5676900" cy="348615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96BB5" w:rsidRPr="00B17787" w:rsidRDefault="00996BB5" w:rsidP="00DF3DE3">
      <w:pPr>
        <w:spacing w:line="240" w:lineRule="auto"/>
        <w:rPr>
          <w:rFonts w:ascii="Arial" w:eastAsia="Calibri" w:hAnsi="Arial" w:cs="Arial"/>
          <w:sz w:val="24"/>
          <w:szCs w:val="24"/>
        </w:rPr>
      </w:pPr>
    </w:p>
    <w:p w:rsidR="00E604EE" w:rsidRPr="00B17787" w:rsidRDefault="00CF5695" w:rsidP="00DF3DE3">
      <w:pPr>
        <w:spacing w:line="240" w:lineRule="auto"/>
        <w:rPr>
          <w:rFonts w:ascii="Arial" w:eastAsia="Calibri" w:hAnsi="Arial" w:cs="Arial"/>
          <w:sz w:val="24"/>
          <w:szCs w:val="24"/>
        </w:rPr>
      </w:pPr>
      <w:r>
        <w:rPr>
          <w:noProof/>
        </w:rPr>
        <w:drawing>
          <wp:inline distT="0" distB="0" distL="0" distR="0" wp14:anchorId="62B47747" wp14:editId="4050C4D8">
            <wp:extent cx="56388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1" w:name="_GoBack"/>
      <w:bookmarkEnd w:id="1"/>
    </w:p>
    <w:p w:rsidR="00BD0288" w:rsidRPr="002D1A77" w:rsidRDefault="005A1013" w:rsidP="00DF3DE3">
      <w:pPr>
        <w:spacing w:line="240" w:lineRule="auto"/>
        <w:rPr>
          <w:rFonts w:ascii="Arial" w:eastAsia="Calibri" w:hAnsi="Arial" w:cs="Arial"/>
          <w:sz w:val="24"/>
          <w:szCs w:val="24"/>
        </w:rPr>
      </w:pPr>
      <w:r w:rsidRPr="002D1A77">
        <w:rPr>
          <w:rFonts w:ascii="Arial" w:eastAsia="Calibri" w:hAnsi="Arial" w:cs="Arial"/>
          <w:sz w:val="24"/>
          <w:szCs w:val="24"/>
        </w:rPr>
        <w:t xml:space="preserve">While the </w:t>
      </w:r>
      <w:r w:rsidR="001C363C" w:rsidRPr="002D1A77">
        <w:rPr>
          <w:rFonts w:ascii="Arial" w:eastAsia="Calibri" w:hAnsi="Arial" w:cs="Arial"/>
          <w:sz w:val="24"/>
          <w:szCs w:val="24"/>
        </w:rPr>
        <w:t>FY2017-2020 TIP was developed before the safety performance measure took effect</w:t>
      </w:r>
      <w:r w:rsidRPr="002D1A77">
        <w:rPr>
          <w:rFonts w:ascii="Arial" w:eastAsia="Calibri" w:hAnsi="Arial" w:cs="Arial"/>
          <w:sz w:val="24"/>
          <w:szCs w:val="24"/>
        </w:rPr>
        <w:t>, GVMC did program projects in the document with safety in mind</w:t>
      </w:r>
      <w:r w:rsidR="004C6F33" w:rsidRPr="002D1A77">
        <w:rPr>
          <w:rFonts w:ascii="Arial" w:eastAsia="Calibri" w:hAnsi="Arial" w:cs="Arial"/>
          <w:sz w:val="24"/>
          <w:szCs w:val="24"/>
        </w:rPr>
        <w:t>, and s</w:t>
      </w:r>
      <w:r w:rsidR="005A5076" w:rsidRPr="002D1A77">
        <w:rPr>
          <w:rFonts w:ascii="Arial" w:eastAsia="Calibri" w:hAnsi="Arial" w:cs="Arial"/>
          <w:sz w:val="24"/>
          <w:szCs w:val="24"/>
        </w:rPr>
        <w:t xml:space="preserve">afety projects received </w:t>
      </w:r>
      <w:r w:rsidR="00C43998" w:rsidRPr="002D1A77">
        <w:rPr>
          <w:rFonts w:ascii="Arial" w:eastAsia="Calibri" w:hAnsi="Arial" w:cs="Arial"/>
          <w:sz w:val="24"/>
          <w:szCs w:val="24"/>
        </w:rPr>
        <w:t>13%</w:t>
      </w:r>
      <w:r w:rsidR="005A5076" w:rsidRPr="002D1A77">
        <w:rPr>
          <w:rFonts w:ascii="Arial" w:eastAsia="Calibri" w:hAnsi="Arial" w:cs="Arial"/>
          <w:sz w:val="24"/>
          <w:szCs w:val="24"/>
        </w:rPr>
        <w:t xml:space="preserve"> of</w:t>
      </w:r>
      <w:r w:rsidR="004C6F33" w:rsidRPr="002D1A77">
        <w:rPr>
          <w:rFonts w:ascii="Arial" w:eastAsia="Calibri" w:hAnsi="Arial" w:cs="Arial"/>
          <w:sz w:val="24"/>
          <w:szCs w:val="24"/>
        </w:rPr>
        <w:t xml:space="preserve"> the</w:t>
      </w:r>
      <w:r w:rsidR="005A5076" w:rsidRPr="002D1A77">
        <w:rPr>
          <w:rFonts w:ascii="Arial" w:eastAsia="Calibri" w:hAnsi="Arial" w:cs="Arial"/>
          <w:sz w:val="24"/>
          <w:szCs w:val="24"/>
        </w:rPr>
        <w:t xml:space="preserve"> available funding. </w:t>
      </w:r>
      <w:r w:rsidR="00BD0288" w:rsidRPr="002D1A77">
        <w:rPr>
          <w:rFonts w:ascii="Arial" w:eastAsia="Calibri" w:hAnsi="Arial" w:cs="Arial"/>
          <w:sz w:val="24"/>
          <w:szCs w:val="24"/>
        </w:rPr>
        <w:t>The Grand Valley Metro Council</w:t>
      </w:r>
      <w:r w:rsidR="005A5076" w:rsidRPr="002D1A77">
        <w:rPr>
          <w:rFonts w:ascii="Arial" w:eastAsia="Calibri" w:hAnsi="Arial" w:cs="Arial"/>
          <w:sz w:val="24"/>
          <w:szCs w:val="24"/>
        </w:rPr>
        <w:t xml:space="preserve"> also</w:t>
      </w:r>
      <w:r w:rsidR="00BD0288" w:rsidRPr="002D1A77">
        <w:rPr>
          <w:rFonts w:ascii="Arial" w:eastAsia="Calibri" w:hAnsi="Arial" w:cs="Arial"/>
          <w:sz w:val="24"/>
          <w:szCs w:val="24"/>
        </w:rPr>
        <w:t xml:space="preserve"> encourages its members to apply for Federal funding using local safety funds. GVMC endorses local safety projects before submitting them to MDOT</w:t>
      </w:r>
      <w:r w:rsidR="005A5076" w:rsidRPr="002D1A77">
        <w:rPr>
          <w:rFonts w:ascii="Arial" w:eastAsia="Calibri" w:hAnsi="Arial" w:cs="Arial"/>
          <w:sz w:val="24"/>
          <w:szCs w:val="24"/>
        </w:rPr>
        <w:t xml:space="preserve"> for funding </w:t>
      </w:r>
      <w:r w:rsidR="005A5076" w:rsidRPr="002D1A77">
        <w:rPr>
          <w:rFonts w:ascii="Arial" w:eastAsia="Calibri" w:hAnsi="Arial" w:cs="Arial"/>
          <w:sz w:val="24"/>
          <w:szCs w:val="24"/>
        </w:rPr>
        <w:lastRenderedPageBreak/>
        <w:t xml:space="preserve">consideration. These </w:t>
      </w:r>
      <w:r w:rsidR="00BD0288" w:rsidRPr="002D1A77">
        <w:rPr>
          <w:rFonts w:ascii="Arial" w:eastAsia="Calibri" w:hAnsi="Arial" w:cs="Arial"/>
          <w:sz w:val="24"/>
          <w:szCs w:val="24"/>
        </w:rPr>
        <w:t>projects are not prioritized in any order. Eligible projects may include replacement, installation or elimination of guardrail</w:t>
      </w:r>
      <w:r w:rsidR="00D553DB" w:rsidRPr="002D1A77">
        <w:rPr>
          <w:rFonts w:ascii="Arial" w:eastAsia="Calibri" w:hAnsi="Arial" w:cs="Arial"/>
          <w:sz w:val="24"/>
          <w:szCs w:val="24"/>
        </w:rPr>
        <w:t>;</w:t>
      </w:r>
      <w:r w:rsidR="00BD0288" w:rsidRPr="002D1A77">
        <w:rPr>
          <w:rFonts w:ascii="Arial" w:eastAsia="Calibri" w:hAnsi="Arial" w:cs="Arial"/>
          <w:sz w:val="24"/>
          <w:szCs w:val="24"/>
        </w:rPr>
        <w:t xml:space="preserve"> traffic signal installation and upgrades</w:t>
      </w:r>
      <w:r w:rsidR="00D553DB" w:rsidRPr="002D1A77">
        <w:rPr>
          <w:rFonts w:ascii="Arial" w:eastAsia="Calibri" w:hAnsi="Arial" w:cs="Arial"/>
          <w:sz w:val="24"/>
          <w:szCs w:val="24"/>
        </w:rPr>
        <w:t>;</w:t>
      </w:r>
      <w:r w:rsidR="00BD0288" w:rsidRPr="002D1A77">
        <w:rPr>
          <w:rFonts w:ascii="Arial" w:eastAsia="Calibri" w:hAnsi="Arial" w:cs="Arial"/>
          <w:sz w:val="24"/>
          <w:szCs w:val="24"/>
        </w:rPr>
        <w:t xml:space="preserve"> horizontal and vertical curve corrections</w:t>
      </w:r>
      <w:r w:rsidR="00D553DB" w:rsidRPr="002D1A77">
        <w:rPr>
          <w:rFonts w:ascii="Arial" w:eastAsia="Calibri" w:hAnsi="Arial" w:cs="Arial"/>
          <w:sz w:val="24"/>
          <w:szCs w:val="24"/>
        </w:rPr>
        <w:t>;</w:t>
      </w:r>
      <w:r w:rsidR="00BD0288" w:rsidRPr="002D1A77">
        <w:rPr>
          <w:rFonts w:ascii="Arial" w:eastAsia="Calibri" w:hAnsi="Arial" w:cs="Arial"/>
          <w:sz w:val="24"/>
          <w:szCs w:val="24"/>
        </w:rPr>
        <w:t xml:space="preserve"> sight distance and drainage improvements</w:t>
      </w:r>
      <w:r w:rsidR="00D553DB" w:rsidRPr="002D1A77">
        <w:rPr>
          <w:rFonts w:ascii="Arial" w:eastAsia="Calibri" w:hAnsi="Arial" w:cs="Arial"/>
          <w:sz w:val="24"/>
          <w:szCs w:val="24"/>
        </w:rPr>
        <w:t>;</w:t>
      </w:r>
      <w:r w:rsidR="00BD0288" w:rsidRPr="002D1A77">
        <w:rPr>
          <w:rFonts w:ascii="Arial" w:eastAsia="Calibri" w:hAnsi="Arial" w:cs="Arial"/>
          <w:sz w:val="24"/>
          <w:szCs w:val="24"/>
        </w:rPr>
        <w:t xml:space="preserve"> bridge railing replacement or retrofit</w:t>
      </w:r>
      <w:r w:rsidR="00D553DB" w:rsidRPr="002D1A77">
        <w:rPr>
          <w:rFonts w:ascii="Arial" w:eastAsia="Calibri" w:hAnsi="Arial" w:cs="Arial"/>
          <w:sz w:val="24"/>
          <w:szCs w:val="24"/>
        </w:rPr>
        <w:t>;</w:t>
      </w:r>
      <w:r w:rsidR="00BD0288" w:rsidRPr="002D1A77">
        <w:rPr>
          <w:rFonts w:ascii="Arial" w:eastAsia="Calibri" w:hAnsi="Arial" w:cs="Arial"/>
          <w:sz w:val="24"/>
          <w:szCs w:val="24"/>
        </w:rPr>
        <w:t xml:space="preserve"> approach guardrail</w:t>
      </w:r>
      <w:r w:rsidR="00D553DB" w:rsidRPr="002D1A77">
        <w:rPr>
          <w:rFonts w:ascii="Arial" w:eastAsia="Calibri" w:hAnsi="Arial" w:cs="Arial"/>
          <w:sz w:val="24"/>
          <w:szCs w:val="24"/>
        </w:rPr>
        <w:t>;</w:t>
      </w:r>
      <w:r w:rsidR="00BD0288" w:rsidRPr="002D1A77">
        <w:rPr>
          <w:rFonts w:ascii="Arial" w:eastAsia="Calibri" w:hAnsi="Arial" w:cs="Arial"/>
          <w:sz w:val="24"/>
          <w:szCs w:val="24"/>
        </w:rPr>
        <w:t xml:space="preserve"> </w:t>
      </w:r>
      <w:r w:rsidR="00C41C56" w:rsidRPr="002D1A77">
        <w:rPr>
          <w:rFonts w:ascii="Arial" w:eastAsia="Calibri" w:hAnsi="Arial" w:cs="Arial"/>
          <w:sz w:val="24"/>
          <w:szCs w:val="24"/>
        </w:rPr>
        <w:t xml:space="preserve">and </w:t>
      </w:r>
      <w:r w:rsidR="00BD0288" w:rsidRPr="002D1A77">
        <w:rPr>
          <w:rFonts w:ascii="Arial" w:eastAsia="Calibri" w:hAnsi="Arial" w:cs="Arial"/>
          <w:sz w:val="24"/>
          <w:szCs w:val="24"/>
        </w:rPr>
        <w:t xml:space="preserve">roadway intersection improvements to improve safety and/or capacity. The Michigan Department of Transportation accepts applications for local safety programs on a yearly basis. However, not all projects </w:t>
      </w:r>
      <w:r w:rsidR="00C41C56" w:rsidRPr="002D1A77">
        <w:rPr>
          <w:rFonts w:ascii="Arial" w:eastAsia="Calibri" w:hAnsi="Arial" w:cs="Arial"/>
          <w:sz w:val="24"/>
          <w:szCs w:val="24"/>
        </w:rPr>
        <w:t>are</w:t>
      </w:r>
      <w:r w:rsidR="00BD0288" w:rsidRPr="002D1A77">
        <w:rPr>
          <w:rFonts w:ascii="Arial" w:eastAsia="Calibri" w:hAnsi="Arial" w:cs="Arial"/>
          <w:sz w:val="24"/>
          <w:szCs w:val="24"/>
        </w:rPr>
        <w:t xml:space="preserve"> funded. </w:t>
      </w:r>
    </w:p>
    <w:p w:rsidR="001C363C" w:rsidRPr="002D1A77" w:rsidRDefault="00E53BA5" w:rsidP="00DF3DE3">
      <w:pPr>
        <w:spacing w:line="240" w:lineRule="auto"/>
        <w:rPr>
          <w:rFonts w:ascii="Arial" w:eastAsia="Calibri" w:hAnsi="Arial" w:cs="Arial"/>
          <w:sz w:val="24"/>
          <w:szCs w:val="24"/>
        </w:rPr>
      </w:pPr>
      <w:r w:rsidRPr="002D1A77">
        <w:rPr>
          <w:rFonts w:ascii="Arial" w:eastAsia="Calibri" w:hAnsi="Arial" w:cs="Arial"/>
          <w:sz w:val="24"/>
          <w:szCs w:val="24"/>
        </w:rPr>
        <w:t>Safety/ADA was considered during the project evaluation process for n</w:t>
      </w:r>
      <w:r w:rsidR="001C363C" w:rsidRPr="002D1A77">
        <w:rPr>
          <w:rFonts w:ascii="Arial" w:eastAsia="Calibri" w:hAnsi="Arial" w:cs="Arial"/>
          <w:sz w:val="24"/>
          <w:szCs w:val="24"/>
        </w:rPr>
        <w:t>on-</w:t>
      </w:r>
      <w:r w:rsidRPr="002D1A77">
        <w:rPr>
          <w:rFonts w:ascii="Arial" w:eastAsia="Calibri" w:hAnsi="Arial" w:cs="Arial"/>
          <w:sz w:val="24"/>
          <w:szCs w:val="24"/>
        </w:rPr>
        <w:t xml:space="preserve">motorized </w:t>
      </w:r>
      <w:r w:rsidR="001C363C" w:rsidRPr="002D1A77">
        <w:rPr>
          <w:rFonts w:ascii="Arial" w:eastAsia="Calibri" w:hAnsi="Arial" w:cs="Arial"/>
          <w:sz w:val="24"/>
          <w:szCs w:val="24"/>
        </w:rPr>
        <w:t xml:space="preserve">projects currently listed in the </w:t>
      </w:r>
      <w:r w:rsidR="00C41C56" w:rsidRPr="002D1A77">
        <w:rPr>
          <w:rFonts w:ascii="Arial" w:eastAsia="Calibri" w:hAnsi="Arial" w:cs="Arial"/>
          <w:sz w:val="24"/>
          <w:szCs w:val="24"/>
        </w:rPr>
        <w:t xml:space="preserve">current </w:t>
      </w:r>
      <w:r w:rsidR="001C363C" w:rsidRPr="002D1A77">
        <w:rPr>
          <w:rFonts w:ascii="Arial" w:eastAsia="Calibri" w:hAnsi="Arial" w:cs="Arial"/>
          <w:sz w:val="24"/>
          <w:szCs w:val="24"/>
        </w:rPr>
        <w:t>Non-Motorized Plan</w:t>
      </w:r>
      <w:r w:rsidR="00BD0288" w:rsidRPr="002D1A77">
        <w:rPr>
          <w:rFonts w:ascii="Arial" w:eastAsia="Calibri" w:hAnsi="Arial" w:cs="Arial"/>
          <w:sz w:val="24"/>
          <w:szCs w:val="24"/>
        </w:rPr>
        <w:t xml:space="preserve"> as well.</w:t>
      </w:r>
      <w:r w:rsidR="001C363C" w:rsidRPr="002D1A77">
        <w:rPr>
          <w:rFonts w:ascii="Arial" w:eastAsia="Calibri" w:hAnsi="Arial" w:cs="Arial"/>
          <w:sz w:val="24"/>
          <w:szCs w:val="24"/>
        </w:rPr>
        <w:t xml:space="preserve"> This includes if the projects help to eliminate conflict points between vehicles and forms of non-motorized travel. Such projects should minimize the incidents of crashes, injuries, and fatalities as well. </w:t>
      </w:r>
    </w:p>
    <w:p w:rsidR="00D553DB" w:rsidRPr="002D1A77" w:rsidRDefault="003264CE" w:rsidP="00D553DB">
      <w:pPr>
        <w:rPr>
          <w:rFonts w:ascii="Arial" w:eastAsia="Calibri" w:hAnsi="Arial" w:cs="Arial"/>
          <w:sz w:val="24"/>
          <w:szCs w:val="24"/>
        </w:rPr>
      </w:pPr>
      <w:r w:rsidRPr="002D1A77">
        <w:rPr>
          <w:rFonts w:ascii="Arial" w:eastAsia="Calibri" w:hAnsi="Arial" w:cs="Arial"/>
          <w:sz w:val="24"/>
          <w:szCs w:val="24"/>
        </w:rPr>
        <w:t>Since</w:t>
      </w:r>
      <w:r w:rsidR="001C363C" w:rsidRPr="002D1A77">
        <w:rPr>
          <w:rFonts w:ascii="Arial" w:eastAsia="Calibri" w:hAnsi="Arial" w:cs="Arial"/>
          <w:sz w:val="24"/>
          <w:szCs w:val="24"/>
        </w:rPr>
        <w:t xml:space="preserve"> projects using STP-safety funds are programmed yearly (FY2018</w:t>
      </w:r>
      <w:r w:rsidR="00A81EDA" w:rsidRPr="002D1A77">
        <w:rPr>
          <w:rFonts w:ascii="Arial" w:eastAsia="Calibri" w:hAnsi="Arial" w:cs="Arial"/>
          <w:sz w:val="24"/>
          <w:szCs w:val="24"/>
        </w:rPr>
        <w:t xml:space="preserve"> &amp; 2019</w:t>
      </w:r>
      <w:r w:rsidR="001C363C" w:rsidRPr="002D1A77">
        <w:rPr>
          <w:rFonts w:ascii="Arial" w:eastAsia="Calibri" w:hAnsi="Arial" w:cs="Arial"/>
          <w:sz w:val="24"/>
          <w:szCs w:val="24"/>
        </w:rPr>
        <w:t xml:space="preserve"> projects are already selected), staff can only address safety performance measures moving forward (FY2019</w:t>
      </w:r>
      <w:r w:rsidR="00645EB4" w:rsidRPr="002D1A77">
        <w:rPr>
          <w:rFonts w:ascii="Arial" w:eastAsia="Calibri" w:hAnsi="Arial" w:cs="Arial"/>
          <w:sz w:val="24"/>
          <w:szCs w:val="24"/>
        </w:rPr>
        <w:t xml:space="preserve"> and beyond</w:t>
      </w:r>
      <w:r w:rsidR="001C363C" w:rsidRPr="002D1A77">
        <w:rPr>
          <w:rFonts w:ascii="Arial" w:eastAsia="Calibri" w:hAnsi="Arial" w:cs="Arial"/>
          <w:sz w:val="24"/>
          <w:szCs w:val="24"/>
        </w:rPr>
        <w:t>). It is unlikely that GVMC will deviate significantly from the current process to select STP-safety projects. GVMC has maintained a safety plan or safety management system for many years.</w:t>
      </w:r>
      <w:r w:rsidRPr="002D1A77">
        <w:rPr>
          <w:rFonts w:ascii="Arial" w:eastAsia="Calibri" w:hAnsi="Arial" w:cs="Arial"/>
          <w:sz w:val="24"/>
          <w:szCs w:val="24"/>
        </w:rPr>
        <w:t xml:space="preserve"> Currently, this plan lists the top 25 intersections ranked by </w:t>
      </w:r>
      <w:r w:rsidR="00D553DB" w:rsidRPr="002D1A77">
        <w:rPr>
          <w:rFonts w:ascii="Arial" w:eastAsia="Calibri" w:hAnsi="Arial" w:cs="Arial"/>
          <w:sz w:val="24"/>
          <w:szCs w:val="24"/>
        </w:rPr>
        <w:t>the following safety criteria:</w:t>
      </w:r>
    </w:p>
    <w:p w:rsidR="00D553DB" w:rsidRPr="002D1A77" w:rsidRDefault="00D553DB" w:rsidP="00D553DB">
      <w:pPr>
        <w:pStyle w:val="ListParagraph"/>
        <w:numPr>
          <w:ilvl w:val="0"/>
          <w:numId w:val="18"/>
        </w:numPr>
        <w:rPr>
          <w:rFonts w:ascii="Arial" w:eastAsia="Calibri" w:hAnsi="Arial" w:cs="Arial"/>
          <w:sz w:val="24"/>
          <w:szCs w:val="24"/>
        </w:rPr>
      </w:pPr>
      <w:r w:rsidRPr="002D1A77">
        <w:rPr>
          <w:rFonts w:ascii="Arial" w:eastAsia="Calibri" w:hAnsi="Arial" w:cs="Arial"/>
          <w:sz w:val="24"/>
          <w:szCs w:val="24"/>
        </w:rPr>
        <w:t xml:space="preserve">Intersections Rank by Expected Excess Fatal and Injury Crash </w:t>
      </w:r>
    </w:p>
    <w:p w:rsidR="00D553DB" w:rsidRPr="002D1A77" w:rsidRDefault="00D553DB" w:rsidP="00D553DB">
      <w:pPr>
        <w:pStyle w:val="ListParagraph"/>
        <w:numPr>
          <w:ilvl w:val="0"/>
          <w:numId w:val="18"/>
        </w:numPr>
        <w:rPr>
          <w:rFonts w:ascii="Arial" w:eastAsia="Calibri" w:hAnsi="Arial" w:cs="Arial"/>
          <w:sz w:val="24"/>
          <w:szCs w:val="24"/>
        </w:rPr>
      </w:pPr>
      <w:r w:rsidRPr="002D1A77">
        <w:rPr>
          <w:rFonts w:ascii="Arial" w:eastAsia="Calibri" w:hAnsi="Arial" w:cs="Arial"/>
          <w:sz w:val="24"/>
          <w:szCs w:val="24"/>
        </w:rPr>
        <w:t xml:space="preserve">Intersections Ranking by Total Crash </w:t>
      </w:r>
      <w:r w:rsidRPr="002D1A77">
        <w:rPr>
          <w:rFonts w:ascii="Arial" w:eastAsia="Calibri" w:hAnsi="Arial" w:cs="Arial"/>
          <w:sz w:val="24"/>
          <w:szCs w:val="24"/>
        </w:rPr>
        <w:t>（</w:t>
      </w:r>
      <w:r w:rsidRPr="002D1A77">
        <w:rPr>
          <w:rFonts w:ascii="Arial" w:eastAsia="Calibri" w:hAnsi="Arial" w:cs="Arial"/>
          <w:sz w:val="24"/>
          <w:szCs w:val="24"/>
        </w:rPr>
        <w:t>2012-2016</w:t>
      </w:r>
      <w:r w:rsidRPr="002D1A77">
        <w:rPr>
          <w:rFonts w:ascii="Arial" w:eastAsia="Calibri" w:hAnsi="Arial" w:cs="Arial"/>
          <w:sz w:val="24"/>
          <w:szCs w:val="24"/>
        </w:rPr>
        <w:t>）</w:t>
      </w:r>
    </w:p>
    <w:p w:rsidR="00D553DB" w:rsidRPr="002D1A77" w:rsidRDefault="00D553DB" w:rsidP="00D553DB">
      <w:pPr>
        <w:pStyle w:val="ListParagraph"/>
        <w:numPr>
          <w:ilvl w:val="0"/>
          <w:numId w:val="18"/>
        </w:numPr>
        <w:rPr>
          <w:rFonts w:ascii="Arial" w:eastAsia="Calibri" w:hAnsi="Arial" w:cs="Arial"/>
          <w:sz w:val="24"/>
          <w:szCs w:val="24"/>
        </w:rPr>
      </w:pPr>
      <w:r w:rsidRPr="002D1A77">
        <w:rPr>
          <w:rFonts w:ascii="Arial" w:eastAsia="Calibri" w:hAnsi="Arial" w:cs="Arial"/>
          <w:sz w:val="24"/>
          <w:szCs w:val="24"/>
        </w:rPr>
        <w:t>Intersections Ranking by Fatal and Serious Injury Crash (2012-2016)</w:t>
      </w:r>
    </w:p>
    <w:p w:rsidR="00D553DB" w:rsidRPr="002D1A77" w:rsidRDefault="00D553DB" w:rsidP="00D553DB">
      <w:pPr>
        <w:pStyle w:val="ListParagraph"/>
        <w:numPr>
          <w:ilvl w:val="0"/>
          <w:numId w:val="18"/>
        </w:numPr>
        <w:rPr>
          <w:rFonts w:ascii="Arial" w:eastAsia="Calibri" w:hAnsi="Arial" w:cs="Arial"/>
          <w:sz w:val="24"/>
          <w:szCs w:val="24"/>
        </w:rPr>
      </w:pPr>
      <w:r w:rsidRPr="002D1A77">
        <w:rPr>
          <w:rFonts w:ascii="Arial" w:eastAsia="Calibri" w:hAnsi="Arial" w:cs="Arial"/>
          <w:sz w:val="24"/>
          <w:szCs w:val="24"/>
        </w:rPr>
        <w:t xml:space="preserve">Freeway Segments Ranking by Expected Excess Fatal and Injury Crash </w:t>
      </w:r>
    </w:p>
    <w:p w:rsidR="00D553DB" w:rsidRPr="002D1A77" w:rsidRDefault="00D553DB" w:rsidP="00D553DB">
      <w:pPr>
        <w:pStyle w:val="ListParagraph"/>
        <w:numPr>
          <w:ilvl w:val="0"/>
          <w:numId w:val="18"/>
        </w:numPr>
        <w:rPr>
          <w:rFonts w:ascii="Arial" w:eastAsia="Calibri" w:hAnsi="Arial" w:cs="Arial"/>
          <w:sz w:val="24"/>
          <w:szCs w:val="24"/>
        </w:rPr>
      </w:pPr>
      <w:r w:rsidRPr="002D1A77">
        <w:rPr>
          <w:rFonts w:ascii="Arial" w:eastAsia="Calibri" w:hAnsi="Arial" w:cs="Arial"/>
          <w:sz w:val="24"/>
          <w:szCs w:val="24"/>
        </w:rPr>
        <w:t>Non-Freeway Segments Ranking by Expected Excess Fatal and Injury Crash</w:t>
      </w:r>
    </w:p>
    <w:p w:rsidR="00D553DB" w:rsidRPr="002D1A77" w:rsidRDefault="00D553DB" w:rsidP="00D553DB">
      <w:pPr>
        <w:pStyle w:val="ListParagraph"/>
        <w:numPr>
          <w:ilvl w:val="0"/>
          <w:numId w:val="18"/>
        </w:numPr>
        <w:rPr>
          <w:rFonts w:ascii="Arial" w:eastAsia="Calibri" w:hAnsi="Arial" w:cs="Arial"/>
          <w:sz w:val="24"/>
          <w:szCs w:val="24"/>
        </w:rPr>
      </w:pPr>
      <w:r w:rsidRPr="002D1A77">
        <w:rPr>
          <w:rFonts w:ascii="Arial" w:eastAsia="Calibri" w:hAnsi="Arial" w:cs="Arial"/>
          <w:sz w:val="24"/>
          <w:szCs w:val="24"/>
        </w:rPr>
        <w:t>Segments Ranking by Total Crash (2012-2016)</w:t>
      </w:r>
    </w:p>
    <w:p w:rsidR="00D553DB" w:rsidRPr="002D1A77" w:rsidRDefault="00D553DB" w:rsidP="00D553DB">
      <w:pPr>
        <w:pStyle w:val="ListParagraph"/>
        <w:numPr>
          <w:ilvl w:val="0"/>
          <w:numId w:val="18"/>
        </w:numPr>
        <w:rPr>
          <w:rFonts w:ascii="Arial" w:eastAsia="Calibri" w:hAnsi="Arial" w:cs="Arial"/>
          <w:sz w:val="24"/>
          <w:szCs w:val="24"/>
        </w:rPr>
      </w:pPr>
      <w:r w:rsidRPr="002D1A77">
        <w:rPr>
          <w:rFonts w:ascii="Arial" w:eastAsia="Calibri" w:hAnsi="Arial" w:cs="Arial"/>
          <w:sz w:val="24"/>
          <w:szCs w:val="24"/>
        </w:rPr>
        <w:t>Segments Ranking by Fatal and Serious Injury Crash (2012-2016)</w:t>
      </w:r>
    </w:p>
    <w:p w:rsidR="00D553DB" w:rsidRPr="002D1A77" w:rsidRDefault="00D553DB" w:rsidP="00D553DB">
      <w:pPr>
        <w:pStyle w:val="ListParagraph"/>
        <w:numPr>
          <w:ilvl w:val="0"/>
          <w:numId w:val="18"/>
        </w:numPr>
        <w:rPr>
          <w:rFonts w:ascii="Arial" w:eastAsia="Calibri" w:hAnsi="Arial" w:cs="Arial"/>
          <w:sz w:val="24"/>
          <w:szCs w:val="24"/>
        </w:rPr>
      </w:pPr>
      <w:r w:rsidRPr="002D1A77">
        <w:rPr>
          <w:rFonts w:ascii="Arial" w:eastAsia="Calibri" w:hAnsi="Arial" w:cs="Arial"/>
          <w:sz w:val="24"/>
          <w:szCs w:val="24"/>
        </w:rPr>
        <w:t xml:space="preserve">Intersection Ranking by Expected Excess Fatal and Injury Pedestrian Crash </w:t>
      </w:r>
    </w:p>
    <w:p w:rsidR="00D553DB" w:rsidRPr="002D1A77" w:rsidRDefault="00D553DB" w:rsidP="00D553DB">
      <w:pPr>
        <w:pStyle w:val="ListParagraph"/>
        <w:numPr>
          <w:ilvl w:val="0"/>
          <w:numId w:val="18"/>
        </w:numPr>
        <w:rPr>
          <w:rFonts w:ascii="Arial" w:eastAsia="Calibri" w:hAnsi="Arial" w:cs="Arial"/>
          <w:sz w:val="24"/>
          <w:szCs w:val="24"/>
        </w:rPr>
      </w:pPr>
      <w:r w:rsidRPr="002D1A77">
        <w:rPr>
          <w:rFonts w:ascii="Arial" w:eastAsia="Calibri" w:hAnsi="Arial" w:cs="Arial"/>
          <w:sz w:val="24"/>
          <w:szCs w:val="24"/>
        </w:rPr>
        <w:t>Intersection Ranking by Pedestrian Crash (2012-2016)</w:t>
      </w:r>
    </w:p>
    <w:p w:rsidR="00D553DB" w:rsidRPr="002D1A77" w:rsidRDefault="00D553DB" w:rsidP="00D553DB">
      <w:pPr>
        <w:pStyle w:val="ListParagraph"/>
        <w:numPr>
          <w:ilvl w:val="0"/>
          <w:numId w:val="18"/>
        </w:numPr>
        <w:rPr>
          <w:rFonts w:ascii="Arial" w:eastAsia="Calibri" w:hAnsi="Arial" w:cs="Arial"/>
          <w:sz w:val="24"/>
          <w:szCs w:val="24"/>
        </w:rPr>
      </w:pPr>
      <w:r w:rsidRPr="002D1A77">
        <w:rPr>
          <w:rFonts w:ascii="Arial" w:eastAsia="Calibri" w:hAnsi="Arial" w:cs="Arial"/>
          <w:sz w:val="24"/>
          <w:szCs w:val="24"/>
        </w:rPr>
        <w:t xml:space="preserve">Intersection Ranking by Expected Excess Fatal and Injury Bicycle Crash </w:t>
      </w:r>
    </w:p>
    <w:p w:rsidR="001C363C" w:rsidRPr="00B17787" w:rsidRDefault="001C363C" w:rsidP="00DF3DE3">
      <w:pPr>
        <w:spacing w:line="240" w:lineRule="auto"/>
        <w:rPr>
          <w:rFonts w:ascii="Arial" w:eastAsia="Calibri" w:hAnsi="Arial" w:cs="Arial"/>
          <w:sz w:val="24"/>
          <w:szCs w:val="24"/>
        </w:rPr>
      </w:pPr>
      <w:r w:rsidRPr="002D1A77">
        <w:rPr>
          <w:rFonts w:ascii="Arial" w:eastAsia="Calibri" w:hAnsi="Arial" w:cs="Arial"/>
          <w:sz w:val="24"/>
          <w:szCs w:val="24"/>
        </w:rPr>
        <w:t>With the update to this plan, staff meets regularly with jurisdictions, provides crash data and additional relevant information upon request. Jurisdictions that desire to address a safety deficiency in their area can also submit project proposals to MDOT for consideration. GVMC will continue to maintain a safety plan and will provide jurisdictions crash data for projects they wish to submit to MDOT for funding consideration</w:t>
      </w:r>
      <w:r w:rsidR="00C41C56" w:rsidRPr="002D1A77">
        <w:rPr>
          <w:rFonts w:ascii="Arial" w:eastAsia="Calibri" w:hAnsi="Arial" w:cs="Arial"/>
          <w:sz w:val="24"/>
          <w:szCs w:val="24"/>
        </w:rPr>
        <w:t xml:space="preserve">. </w:t>
      </w:r>
      <w:r w:rsidRPr="002D1A77">
        <w:rPr>
          <w:rFonts w:ascii="Arial" w:eastAsia="Calibri" w:hAnsi="Arial" w:cs="Arial"/>
          <w:sz w:val="24"/>
          <w:szCs w:val="24"/>
        </w:rPr>
        <w:t>GVMC will</w:t>
      </w:r>
      <w:r w:rsidR="00C41C56" w:rsidRPr="002D1A77">
        <w:rPr>
          <w:rFonts w:ascii="Arial" w:eastAsia="Calibri" w:hAnsi="Arial" w:cs="Arial"/>
          <w:sz w:val="24"/>
          <w:szCs w:val="24"/>
        </w:rPr>
        <w:t xml:space="preserve"> also </w:t>
      </w:r>
      <w:r w:rsidRPr="002D1A77">
        <w:rPr>
          <w:rFonts w:ascii="Arial" w:eastAsia="Calibri" w:hAnsi="Arial" w:cs="Arial"/>
          <w:sz w:val="24"/>
          <w:szCs w:val="24"/>
        </w:rPr>
        <w:t>continue to program projects using all sources of funding that target identified intersections and corridors with high crash rates as well as intersections and corridors with high fatalities and serious injuries, which we hope will support MDOT’s safety targets.</w:t>
      </w:r>
      <w:r w:rsidRPr="00B17787">
        <w:rPr>
          <w:rFonts w:ascii="Arial" w:eastAsia="Calibri" w:hAnsi="Arial" w:cs="Arial"/>
          <w:sz w:val="24"/>
          <w:szCs w:val="24"/>
        </w:rPr>
        <w:t xml:space="preserve"> </w:t>
      </w:r>
    </w:p>
    <w:p w:rsidR="001C363C" w:rsidRPr="00B17787" w:rsidRDefault="001C363C" w:rsidP="00DF3DE3">
      <w:pPr>
        <w:spacing w:line="240" w:lineRule="auto"/>
        <w:rPr>
          <w:rFonts w:ascii="Arial" w:eastAsia="Calibri" w:hAnsi="Arial" w:cs="Arial"/>
          <w:sz w:val="24"/>
          <w:szCs w:val="24"/>
        </w:rPr>
      </w:pPr>
      <w:r w:rsidRPr="00B17787">
        <w:rPr>
          <w:rFonts w:ascii="Arial" w:eastAsia="Calibri" w:hAnsi="Arial" w:cs="Arial"/>
          <w:sz w:val="24"/>
          <w:szCs w:val="24"/>
        </w:rPr>
        <w:t xml:space="preserve">Furthermore, the MPO is revising its Policies and Practices for Programming Projects document as well as the process for ranking and selecting non-motorized projects to incorporate safety targets </w:t>
      </w:r>
      <w:r w:rsidR="00193500">
        <w:rPr>
          <w:rFonts w:ascii="Arial" w:eastAsia="Calibri" w:hAnsi="Arial" w:cs="Arial"/>
          <w:sz w:val="24"/>
          <w:szCs w:val="24"/>
        </w:rPr>
        <w:t xml:space="preserve">and </w:t>
      </w:r>
      <w:r w:rsidRPr="00B17787">
        <w:rPr>
          <w:rFonts w:ascii="Arial" w:eastAsia="Calibri" w:hAnsi="Arial" w:cs="Arial"/>
          <w:sz w:val="24"/>
          <w:szCs w:val="24"/>
        </w:rPr>
        <w:t xml:space="preserve">the remaining performance measures in the project </w:t>
      </w:r>
      <w:r w:rsidRPr="00B17787">
        <w:rPr>
          <w:rFonts w:ascii="Arial" w:eastAsia="Calibri" w:hAnsi="Arial" w:cs="Arial"/>
          <w:sz w:val="24"/>
          <w:szCs w:val="24"/>
        </w:rPr>
        <w:lastRenderedPageBreak/>
        <w:t>selection process before the development of the FY2020-2023 TIP. The MPO will also continue to work with other MPOs on best practices for performance-based programing of projects and analysis of performance measure data.</w:t>
      </w:r>
    </w:p>
    <w:p w:rsidR="00E97840" w:rsidRDefault="00E97840" w:rsidP="00DF3DE3">
      <w:pPr>
        <w:autoSpaceDE w:val="0"/>
        <w:autoSpaceDN w:val="0"/>
        <w:adjustRightInd w:val="0"/>
        <w:spacing w:after="0" w:line="240" w:lineRule="auto"/>
        <w:rPr>
          <w:rFonts w:ascii="Arial" w:hAnsi="Arial" w:cs="Arial"/>
          <w:b/>
          <w:bCs/>
          <w:sz w:val="24"/>
          <w:szCs w:val="24"/>
        </w:rPr>
      </w:pPr>
    </w:p>
    <w:p w:rsidR="00790553" w:rsidRPr="00193500" w:rsidRDefault="00790553" w:rsidP="00790553">
      <w:pPr>
        <w:autoSpaceDE w:val="0"/>
        <w:autoSpaceDN w:val="0"/>
        <w:adjustRightInd w:val="0"/>
        <w:spacing w:after="0" w:line="240" w:lineRule="auto"/>
        <w:rPr>
          <w:rFonts w:ascii="Arial" w:hAnsi="Arial" w:cs="Arial"/>
          <w:b/>
          <w:bCs/>
          <w:sz w:val="28"/>
          <w:szCs w:val="28"/>
        </w:rPr>
      </w:pPr>
      <w:r w:rsidRPr="00193500">
        <w:rPr>
          <w:rFonts w:ascii="Arial" w:hAnsi="Arial" w:cs="Arial"/>
          <w:b/>
          <w:bCs/>
          <w:sz w:val="28"/>
          <w:szCs w:val="28"/>
        </w:rPr>
        <w:t>Transit Performance</w:t>
      </w:r>
    </w:p>
    <w:p w:rsidR="00790553" w:rsidRPr="00B17787" w:rsidRDefault="00790553" w:rsidP="00790553">
      <w:pPr>
        <w:autoSpaceDE w:val="0"/>
        <w:autoSpaceDN w:val="0"/>
        <w:adjustRightInd w:val="0"/>
        <w:spacing w:after="0" w:line="240" w:lineRule="auto"/>
        <w:rPr>
          <w:rFonts w:ascii="Arial" w:hAnsi="Arial" w:cs="Arial"/>
          <w:b/>
          <w:bCs/>
          <w:sz w:val="24"/>
          <w:szCs w:val="24"/>
        </w:rPr>
      </w:pPr>
    </w:p>
    <w:p w:rsidR="00790553" w:rsidRPr="00B17787" w:rsidRDefault="00790553" w:rsidP="00790553">
      <w:pPr>
        <w:autoSpaceDE w:val="0"/>
        <w:autoSpaceDN w:val="0"/>
        <w:adjustRightInd w:val="0"/>
        <w:spacing w:after="0" w:line="240" w:lineRule="auto"/>
        <w:rPr>
          <w:rFonts w:ascii="Arial" w:hAnsi="Arial" w:cs="Arial"/>
          <w:sz w:val="24"/>
          <w:szCs w:val="24"/>
        </w:rPr>
      </w:pPr>
      <w:r w:rsidRPr="00B17787">
        <w:rPr>
          <w:rFonts w:ascii="Arial" w:hAnsi="Arial" w:cs="Arial"/>
          <w:sz w:val="24"/>
          <w:szCs w:val="24"/>
        </w:rPr>
        <w:t>MAP</w:t>
      </w:r>
      <w:r w:rsidRPr="00B17787">
        <w:rPr>
          <w:rFonts w:ascii="Cambria Math" w:hAnsi="Cambria Math" w:cs="Cambria Math"/>
          <w:sz w:val="24"/>
          <w:szCs w:val="24"/>
        </w:rPr>
        <w:t>‐</w:t>
      </w:r>
      <w:r w:rsidRPr="00B17787">
        <w:rPr>
          <w:rFonts w:ascii="Arial" w:hAnsi="Arial" w:cs="Arial"/>
          <w:sz w:val="24"/>
          <w:szCs w:val="24"/>
        </w:rPr>
        <w:t>21 mandated the Federal Transit Administration (FTA) to develop a rule establishing a strategic and systematic process of operating, maintaining, and improving public capital assets effectively through their entire life cycle. The Transit Asset Management (TAM) Final Rule 49 CFR part 625 became effective Oct. 1, 2016 and established four performance measures. The performance management requirements outlined in 49 CFR 625 Subpart D are a minimum standard for transit operators. Providers with more data and sophisticated analysis expertise are allowed to add performance measures and utilize those advanced techniques in addition to</w:t>
      </w:r>
      <w:r>
        <w:rPr>
          <w:rFonts w:ascii="Arial" w:hAnsi="Arial" w:cs="Arial"/>
          <w:sz w:val="24"/>
          <w:szCs w:val="24"/>
        </w:rPr>
        <w:t xml:space="preserve"> </w:t>
      </w:r>
      <w:r w:rsidRPr="00B17787">
        <w:rPr>
          <w:rFonts w:ascii="Arial" w:hAnsi="Arial" w:cs="Arial"/>
          <w:sz w:val="24"/>
          <w:szCs w:val="24"/>
        </w:rPr>
        <w:t>the required national performance measures, which include the following:</w:t>
      </w:r>
    </w:p>
    <w:p w:rsidR="00790553" w:rsidRPr="00B17787" w:rsidRDefault="00790553" w:rsidP="00790553">
      <w:pPr>
        <w:autoSpaceDE w:val="0"/>
        <w:autoSpaceDN w:val="0"/>
        <w:adjustRightInd w:val="0"/>
        <w:spacing w:after="0" w:line="240" w:lineRule="auto"/>
        <w:rPr>
          <w:rFonts w:ascii="Arial" w:hAnsi="Arial" w:cs="Arial"/>
          <w:sz w:val="24"/>
          <w:szCs w:val="24"/>
        </w:rPr>
      </w:pPr>
    </w:p>
    <w:p w:rsidR="00790553" w:rsidRPr="00B17787" w:rsidRDefault="00790553" w:rsidP="00790553">
      <w:pPr>
        <w:pStyle w:val="ListParagraph"/>
        <w:numPr>
          <w:ilvl w:val="0"/>
          <w:numId w:val="9"/>
        </w:numPr>
        <w:autoSpaceDE w:val="0"/>
        <w:autoSpaceDN w:val="0"/>
        <w:adjustRightInd w:val="0"/>
        <w:spacing w:after="0" w:line="240" w:lineRule="auto"/>
        <w:rPr>
          <w:rFonts w:ascii="Arial" w:hAnsi="Arial" w:cs="Arial"/>
          <w:sz w:val="24"/>
          <w:szCs w:val="24"/>
        </w:rPr>
      </w:pPr>
      <w:r w:rsidRPr="00C744B0">
        <w:rPr>
          <w:rFonts w:ascii="Arial" w:hAnsi="Arial" w:cs="Arial"/>
          <w:sz w:val="24"/>
          <w:szCs w:val="24"/>
        </w:rPr>
        <w:t xml:space="preserve">Rolling Stock </w:t>
      </w:r>
      <w:r w:rsidRPr="00C744B0">
        <w:rPr>
          <w:rFonts w:ascii="Cambria Math" w:hAnsi="Cambria Math" w:cs="Cambria Math"/>
          <w:sz w:val="24"/>
          <w:szCs w:val="24"/>
        </w:rPr>
        <w:t>‐</w:t>
      </w:r>
      <w:r w:rsidRPr="00C744B0">
        <w:rPr>
          <w:rFonts w:ascii="Arial" w:hAnsi="Arial" w:cs="Arial"/>
          <w:sz w:val="24"/>
          <w:szCs w:val="24"/>
        </w:rPr>
        <w:t xml:space="preserve"> </w:t>
      </w:r>
      <w:r>
        <w:rPr>
          <w:rFonts w:ascii="Arial" w:hAnsi="Arial" w:cs="Arial"/>
          <w:sz w:val="24"/>
          <w:szCs w:val="24"/>
        </w:rPr>
        <w:t>Percentage of revenue vehicles exceeding Useful Life Benchmark (ULB)</w:t>
      </w:r>
    </w:p>
    <w:p w:rsidR="00790553" w:rsidRPr="00EC27D7" w:rsidRDefault="00790553" w:rsidP="00790553">
      <w:pPr>
        <w:pStyle w:val="ListParagraph"/>
        <w:numPr>
          <w:ilvl w:val="0"/>
          <w:numId w:val="9"/>
        </w:numPr>
        <w:autoSpaceDE w:val="0"/>
        <w:autoSpaceDN w:val="0"/>
        <w:adjustRightInd w:val="0"/>
        <w:spacing w:after="0" w:line="240" w:lineRule="auto"/>
        <w:rPr>
          <w:rFonts w:ascii="Arial" w:hAnsi="Arial" w:cs="Arial"/>
          <w:sz w:val="24"/>
          <w:szCs w:val="24"/>
        </w:rPr>
      </w:pPr>
      <w:r w:rsidRPr="00B17787">
        <w:rPr>
          <w:rFonts w:ascii="Arial" w:hAnsi="Arial" w:cs="Arial"/>
          <w:sz w:val="24"/>
          <w:szCs w:val="24"/>
        </w:rPr>
        <w:t xml:space="preserve">Equipment </w:t>
      </w:r>
      <w:r w:rsidRPr="00B17787">
        <w:rPr>
          <w:rFonts w:ascii="Cambria Math" w:hAnsi="Cambria Math" w:cs="Cambria Math"/>
          <w:sz w:val="24"/>
          <w:szCs w:val="24"/>
        </w:rPr>
        <w:t>‐</w:t>
      </w:r>
      <w:r w:rsidRPr="00B17787">
        <w:rPr>
          <w:rFonts w:ascii="Arial" w:hAnsi="Arial" w:cs="Arial"/>
          <w:sz w:val="24"/>
          <w:szCs w:val="24"/>
        </w:rPr>
        <w:t xml:space="preserve"> </w:t>
      </w:r>
      <w:r>
        <w:rPr>
          <w:rFonts w:ascii="Arial" w:hAnsi="Arial" w:cs="Arial"/>
          <w:sz w:val="24"/>
          <w:szCs w:val="24"/>
        </w:rPr>
        <w:t>Percentage of non-revenue vehicles exceeding ULB)</w:t>
      </w:r>
    </w:p>
    <w:p w:rsidR="00790553" w:rsidRPr="00B17787" w:rsidRDefault="00790553" w:rsidP="00790553">
      <w:pPr>
        <w:pStyle w:val="ListParagraph"/>
        <w:numPr>
          <w:ilvl w:val="0"/>
          <w:numId w:val="9"/>
        </w:numPr>
        <w:autoSpaceDE w:val="0"/>
        <w:autoSpaceDN w:val="0"/>
        <w:adjustRightInd w:val="0"/>
        <w:spacing w:after="0" w:line="240" w:lineRule="auto"/>
        <w:rPr>
          <w:rFonts w:ascii="Arial" w:hAnsi="Arial" w:cs="Arial"/>
          <w:sz w:val="24"/>
          <w:szCs w:val="24"/>
        </w:rPr>
      </w:pPr>
      <w:r w:rsidRPr="00B17787">
        <w:rPr>
          <w:rFonts w:ascii="Arial" w:hAnsi="Arial" w:cs="Arial"/>
          <w:sz w:val="24"/>
          <w:szCs w:val="24"/>
        </w:rPr>
        <w:t xml:space="preserve">Facilities </w:t>
      </w:r>
      <w:r w:rsidRPr="00B17787">
        <w:rPr>
          <w:rFonts w:ascii="Cambria Math" w:hAnsi="Cambria Math" w:cs="Cambria Math"/>
          <w:sz w:val="24"/>
          <w:szCs w:val="24"/>
        </w:rPr>
        <w:t>‐</w:t>
      </w:r>
      <w:r w:rsidRPr="00B17787">
        <w:rPr>
          <w:rFonts w:ascii="Arial" w:hAnsi="Arial" w:cs="Arial"/>
          <w:sz w:val="24"/>
          <w:szCs w:val="24"/>
        </w:rPr>
        <w:t xml:space="preserve"> </w:t>
      </w:r>
      <w:r>
        <w:rPr>
          <w:rFonts w:ascii="Arial" w:hAnsi="Arial" w:cs="Arial"/>
          <w:sz w:val="24"/>
          <w:szCs w:val="24"/>
        </w:rPr>
        <w:t>Percentage of facilities rated under 3.0 on the Transit Economic Requirements Model (TERM) scale</w:t>
      </w:r>
    </w:p>
    <w:p w:rsidR="00790553" w:rsidRPr="00B17787" w:rsidRDefault="00790553" w:rsidP="00790553">
      <w:pPr>
        <w:pStyle w:val="ListParagraph"/>
        <w:numPr>
          <w:ilvl w:val="0"/>
          <w:numId w:val="9"/>
        </w:numPr>
        <w:autoSpaceDE w:val="0"/>
        <w:autoSpaceDN w:val="0"/>
        <w:adjustRightInd w:val="0"/>
        <w:spacing w:after="0" w:line="240" w:lineRule="auto"/>
        <w:rPr>
          <w:rFonts w:ascii="Arial" w:hAnsi="Arial" w:cs="Arial"/>
          <w:sz w:val="24"/>
          <w:szCs w:val="24"/>
        </w:rPr>
      </w:pPr>
      <w:r w:rsidRPr="00B17787">
        <w:rPr>
          <w:rFonts w:ascii="Arial" w:hAnsi="Arial" w:cs="Arial"/>
          <w:sz w:val="24"/>
          <w:szCs w:val="24"/>
        </w:rPr>
        <w:t xml:space="preserve">Infrastructure </w:t>
      </w:r>
      <w:r w:rsidRPr="00B17787">
        <w:rPr>
          <w:rFonts w:ascii="Cambria Math" w:hAnsi="Cambria Math" w:cs="Cambria Math"/>
          <w:sz w:val="24"/>
          <w:szCs w:val="24"/>
        </w:rPr>
        <w:t>‐</w:t>
      </w:r>
      <w:r w:rsidRPr="00B17787">
        <w:rPr>
          <w:rFonts w:ascii="Arial" w:hAnsi="Arial" w:cs="Arial"/>
          <w:sz w:val="24"/>
          <w:szCs w:val="24"/>
        </w:rPr>
        <w:t xml:space="preserve"> </w:t>
      </w:r>
      <w:r w:rsidRPr="009A17DD">
        <w:rPr>
          <w:rFonts w:ascii="Arial" w:hAnsi="Arial" w:cs="Arial"/>
          <w:sz w:val="24"/>
          <w:szCs w:val="24"/>
        </w:rPr>
        <w:t>Percentage of track segments under performance restriction (only applies to rail fixed guideway systems</w:t>
      </w:r>
      <w:r>
        <w:rPr>
          <w:rFonts w:ascii="Arial" w:hAnsi="Arial" w:cs="Arial"/>
          <w:sz w:val="24"/>
          <w:szCs w:val="24"/>
        </w:rPr>
        <w:t xml:space="preserve"> – not applicable in GVMC region</w:t>
      </w:r>
      <w:r w:rsidRPr="009A17DD">
        <w:rPr>
          <w:rFonts w:ascii="Arial" w:hAnsi="Arial" w:cs="Arial"/>
          <w:sz w:val="24"/>
          <w:szCs w:val="24"/>
        </w:rPr>
        <w:t>)</w:t>
      </w:r>
    </w:p>
    <w:p w:rsidR="00790553" w:rsidRPr="00B17787" w:rsidRDefault="00790553" w:rsidP="00790553">
      <w:pPr>
        <w:autoSpaceDE w:val="0"/>
        <w:autoSpaceDN w:val="0"/>
        <w:adjustRightInd w:val="0"/>
        <w:spacing w:after="0" w:line="240" w:lineRule="auto"/>
        <w:rPr>
          <w:rFonts w:ascii="Arial" w:hAnsi="Arial" w:cs="Arial"/>
          <w:sz w:val="24"/>
          <w:szCs w:val="24"/>
        </w:rPr>
      </w:pPr>
    </w:p>
    <w:p w:rsidR="00790553" w:rsidRPr="00DD6688" w:rsidRDefault="00790553" w:rsidP="00790553">
      <w:pPr>
        <w:autoSpaceDE w:val="0"/>
        <w:autoSpaceDN w:val="0"/>
        <w:adjustRightInd w:val="0"/>
        <w:spacing w:after="0" w:line="240" w:lineRule="auto"/>
        <w:rPr>
          <w:rFonts w:ascii="Arial" w:hAnsi="Arial" w:cs="Arial"/>
          <w:sz w:val="24"/>
          <w:szCs w:val="24"/>
        </w:rPr>
      </w:pPr>
      <w:r>
        <w:rPr>
          <w:rFonts w:ascii="Arial" w:hAnsi="Arial" w:cs="Arial"/>
          <w:sz w:val="24"/>
          <w:szCs w:val="24"/>
        </w:rPr>
        <w:t>Though GVMC received agency-level State of Good Repair (SGR) targets from ITP-The Rapid in 2017 – which were approved and supported by the Technical and Policy Committees in September of 2017 – staff began the coordination process to cooperatively develop a single set of regional SGR targets in early 2018 when GVMC received updated targets from ITP-The Rapid, as well as targets from MDOT (</w:t>
      </w:r>
      <w:r>
        <w:rPr>
          <w:rFonts w:ascii="Arial" w:hAnsi="Arial" w:cs="Arial"/>
          <w:bCs/>
          <w:sz w:val="24"/>
          <w:szCs w:val="24"/>
        </w:rPr>
        <w:t xml:space="preserve">applicable to MDOT Section 5311 and 5310 subrecipients) and Hope Network. Through coordination with the regional transit agencies the following region-level targets were developed and presented to the Technical and Policy Committees at the May, 2018 meetings where they were adopted. </w:t>
      </w:r>
    </w:p>
    <w:p w:rsidR="00790553" w:rsidRDefault="00790553" w:rsidP="00790553">
      <w:pPr>
        <w:autoSpaceDE w:val="0"/>
        <w:autoSpaceDN w:val="0"/>
        <w:adjustRightInd w:val="0"/>
        <w:spacing w:after="0" w:line="240" w:lineRule="auto"/>
        <w:rPr>
          <w:rFonts w:ascii="Arial" w:hAnsi="Arial" w:cs="Arial"/>
          <w:bCs/>
          <w:sz w:val="24"/>
          <w:szCs w:val="24"/>
        </w:rPr>
      </w:pPr>
    </w:p>
    <w:p w:rsidR="00790553" w:rsidRDefault="00790553" w:rsidP="00790553">
      <w:pPr>
        <w:autoSpaceDE w:val="0"/>
        <w:autoSpaceDN w:val="0"/>
        <w:adjustRightInd w:val="0"/>
        <w:spacing w:after="0" w:line="240" w:lineRule="auto"/>
        <w:jc w:val="center"/>
        <w:rPr>
          <w:rFonts w:ascii="Arial" w:hAnsi="Arial" w:cs="Arial"/>
          <w:bCs/>
          <w:sz w:val="24"/>
          <w:szCs w:val="24"/>
        </w:rPr>
      </w:pPr>
    </w:p>
    <w:p w:rsidR="00790553" w:rsidRDefault="00790553" w:rsidP="00790553">
      <w:pPr>
        <w:spacing w:after="160" w:line="259" w:lineRule="auto"/>
        <w:rPr>
          <w:rFonts w:ascii="Arial" w:hAnsi="Arial" w:cs="Arial"/>
          <w:bCs/>
          <w:sz w:val="24"/>
          <w:szCs w:val="24"/>
        </w:rPr>
      </w:pPr>
      <w:r>
        <w:rPr>
          <w:rFonts w:ascii="Arial" w:hAnsi="Arial" w:cs="Arial"/>
          <w:bCs/>
          <w:sz w:val="24"/>
          <w:szCs w:val="24"/>
        </w:rPr>
        <w:br w:type="page"/>
      </w:r>
    </w:p>
    <w:p w:rsidR="00790553" w:rsidRDefault="00790553" w:rsidP="00790553">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lastRenderedPageBreak/>
        <w:t>GVMC MPO State of Good Repair Targets</w:t>
      </w:r>
    </w:p>
    <w:tbl>
      <w:tblPr>
        <w:tblStyle w:val="GridTable4-Accent11"/>
        <w:tblW w:w="9641" w:type="dxa"/>
        <w:tblLook w:val="04A0" w:firstRow="1" w:lastRow="0" w:firstColumn="1" w:lastColumn="0" w:noHBand="0" w:noVBand="1"/>
      </w:tblPr>
      <w:tblGrid>
        <w:gridCol w:w="1499"/>
        <w:gridCol w:w="3176"/>
        <w:gridCol w:w="4966"/>
      </w:tblGrid>
      <w:tr w:rsidR="00790553" w:rsidRPr="005A7048" w:rsidTr="00BE03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9" w:type="dxa"/>
          </w:tcPr>
          <w:p w:rsidR="00790553" w:rsidRPr="005A7048" w:rsidRDefault="00790553" w:rsidP="00BE03B9">
            <w:pPr>
              <w:rPr>
                <w:rFonts w:ascii="Arial" w:hAnsi="Arial" w:cs="Arial"/>
              </w:rPr>
            </w:pPr>
            <w:r w:rsidRPr="005A7048">
              <w:rPr>
                <w:rFonts w:ascii="Arial" w:hAnsi="Arial" w:cs="Arial"/>
              </w:rPr>
              <w:t>Asset Class</w:t>
            </w:r>
          </w:p>
        </w:tc>
        <w:tc>
          <w:tcPr>
            <w:tcW w:w="3176" w:type="dxa"/>
          </w:tcPr>
          <w:p w:rsidR="00790553" w:rsidRPr="005A7048" w:rsidRDefault="00790553" w:rsidP="00BE03B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A7048">
              <w:rPr>
                <w:rFonts w:ascii="Arial" w:hAnsi="Arial" w:cs="Arial"/>
              </w:rPr>
              <w:t>Sub-Class</w:t>
            </w:r>
          </w:p>
        </w:tc>
        <w:tc>
          <w:tcPr>
            <w:tcW w:w="4966" w:type="dxa"/>
          </w:tcPr>
          <w:p w:rsidR="00790553" w:rsidRPr="005A7048" w:rsidRDefault="00790553" w:rsidP="00BE03B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A7048">
              <w:rPr>
                <w:rFonts w:ascii="Arial" w:hAnsi="Arial" w:cs="Arial"/>
              </w:rPr>
              <w:t>MPO Target</w:t>
            </w:r>
          </w:p>
        </w:tc>
      </w:tr>
      <w:tr w:rsidR="00790553" w:rsidRPr="005A7048" w:rsidTr="00BE0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9" w:type="dxa"/>
            <w:vMerge w:val="restart"/>
            <w:vAlign w:val="center"/>
          </w:tcPr>
          <w:p w:rsidR="00790553" w:rsidRPr="005A7048" w:rsidRDefault="00790553" w:rsidP="00BE03B9">
            <w:pPr>
              <w:rPr>
                <w:rFonts w:ascii="Arial" w:hAnsi="Arial" w:cs="Arial"/>
              </w:rPr>
            </w:pPr>
            <w:r w:rsidRPr="005A7048">
              <w:rPr>
                <w:rFonts w:ascii="Arial" w:hAnsi="Arial" w:cs="Arial"/>
              </w:rPr>
              <w:t>Rolling Stock</w:t>
            </w:r>
          </w:p>
        </w:tc>
        <w:tc>
          <w:tcPr>
            <w:tcW w:w="3176" w:type="dxa"/>
          </w:tcPr>
          <w:p w:rsidR="00790553" w:rsidRPr="005A7048" w:rsidRDefault="00790553" w:rsidP="00BE03B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A7048">
              <w:rPr>
                <w:rFonts w:ascii="Arial" w:hAnsi="Arial" w:cs="Arial"/>
              </w:rPr>
              <w:t>Revenue Vehicles: Large Bus</w:t>
            </w:r>
          </w:p>
        </w:tc>
        <w:tc>
          <w:tcPr>
            <w:tcW w:w="4966" w:type="dxa"/>
          </w:tcPr>
          <w:p w:rsidR="00790553" w:rsidRPr="005A7048" w:rsidRDefault="00790553" w:rsidP="00BE03B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A7048">
              <w:rPr>
                <w:rFonts w:ascii="Arial" w:hAnsi="Arial" w:cs="Arial"/>
              </w:rPr>
              <w:t>Not more than 15% will meet or exceed FTA ULB</w:t>
            </w:r>
          </w:p>
        </w:tc>
      </w:tr>
      <w:tr w:rsidR="00790553" w:rsidRPr="005A7048" w:rsidTr="00BE03B9">
        <w:tc>
          <w:tcPr>
            <w:cnfStyle w:val="001000000000" w:firstRow="0" w:lastRow="0" w:firstColumn="1" w:lastColumn="0" w:oddVBand="0" w:evenVBand="0" w:oddHBand="0" w:evenHBand="0" w:firstRowFirstColumn="0" w:firstRowLastColumn="0" w:lastRowFirstColumn="0" w:lastRowLastColumn="0"/>
            <w:tcW w:w="1499" w:type="dxa"/>
            <w:vMerge/>
          </w:tcPr>
          <w:p w:rsidR="00790553" w:rsidRPr="005A7048" w:rsidRDefault="00790553" w:rsidP="00BE03B9">
            <w:pPr>
              <w:rPr>
                <w:rFonts w:ascii="Arial" w:hAnsi="Arial" w:cs="Arial"/>
              </w:rPr>
            </w:pPr>
          </w:p>
        </w:tc>
        <w:tc>
          <w:tcPr>
            <w:tcW w:w="3176" w:type="dxa"/>
          </w:tcPr>
          <w:p w:rsidR="00790553" w:rsidRPr="005A7048" w:rsidRDefault="00790553" w:rsidP="00BE03B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A7048">
              <w:rPr>
                <w:rFonts w:ascii="Arial" w:hAnsi="Arial" w:cs="Arial"/>
              </w:rPr>
              <w:t>Revenue Vehicles: Small Bus and Vans</w:t>
            </w:r>
          </w:p>
        </w:tc>
        <w:tc>
          <w:tcPr>
            <w:tcW w:w="4966" w:type="dxa"/>
          </w:tcPr>
          <w:p w:rsidR="00790553" w:rsidRPr="005A7048" w:rsidRDefault="00790553" w:rsidP="00BE03B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A7048">
              <w:rPr>
                <w:rFonts w:ascii="Arial" w:hAnsi="Arial" w:cs="Arial"/>
              </w:rPr>
              <w:t>Not more than 10% will meet or exceed FTA ULB</w:t>
            </w:r>
          </w:p>
        </w:tc>
      </w:tr>
      <w:tr w:rsidR="00790553" w:rsidRPr="005A7048" w:rsidTr="00BE0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9" w:type="dxa"/>
            <w:vMerge/>
          </w:tcPr>
          <w:p w:rsidR="00790553" w:rsidRPr="005A7048" w:rsidRDefault="00790553" w:rsidP="00BE03B9">
            <w:pPr>
              <w:rPr>
                <w:rFonts w:ascii="Arial" w:hAnsi="Arial" w:cs="Arial"/>
              </w:rPr>
            </w:pPr>
          </w:p>
        </w:tc>
        <w:tc>
          <w:tcPr>
            <w:tcW w:w="3176" w:type="dxa"/>
          </w:tcPr>
          <w:p w:rsidR="00790553" w:rsidRPr="005A7048" w:rsidRDefault="00790553" w:rsidP="00BE03B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A7048">
              <w:rPr>
                <w:rFonts w:ascii="Arial" w:hAnsi="Arial" w:cs="Arial"/>
              </w:rPr>
              <w:t>Revenue Vehicles: Sedan/SUV</w:t>
            </w:r>
          </w:p>
        </w:tc>
        <w:tc>
          <w:tcPr>
            <w:tcW w:w="4966" w:type="dxa"/>
          </w:tcPr>
          <w:p w:rsidR="00790553" w:rsidRPr="005A7048" w:rsidRDefault="00790553" w:rsidP="00BE03B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A7048">
              <w:rPr>
                <w:rFonts w:ascii="Arial" w:hAnsi="Arial" w:cs="Arial"/>
              </w:rPr>
              <w:t>Not more than 10% will meet or exceed FTA ULB</w:t>
            </w:r>
          </w:p>
        </w:tc>
      </w:tr>
      <w:tr w:rsidR="00790553" w:rsidRPr="005A7048" w:rsidTr="00BE03B9">
        <w:tc>
          <w:tcPr>
            <w:cnfStyle w:val="001000000000" w:firstRow="0" w:lastRow="0" w:firstColumn="1" w:lastColumn="0" w:oddVBand="0" w:evenVBand="0" w:oddHBand="0" w:evenHBand="0" w:firstRowFirstColumn="0" w:firstRowLastColumn="0" w:lastRowFirstColumn="0" w:lastRowLastColumn="0"/>
            <w:tcW w:w="1499" w:type="dxa"/>
            <w:vMerge w:val="restart"/>
            <w:vAlign w:val="center"/>
          </w:tcPr>
          <w:p w:rsidR="00790553" w:rsidRPr="005A7048" w:rsidRDefault="00790553" w:rsidP="00BE03B9">
            <w:pPr>
              <w:rPr>
                <w:rFonts w:ascii="Arial" w:hAnsi="Arial" w:cs="Arial"/>
              </w:rPr>
            </w:pPr>
            <w:r w:rsidRPr="005A7048">
              <w:rPr>
                <w:rFonts w:ascii="Arial" w:hAnsi="Arial" w:cs="Arial"/>
              </w:rPr>
              <w:t>Equipment</w:t>
            </w:r>
          </w:p>
        </w:tc>
        <w:tc>
          <w:tcPr>
            <w:tcW w:w="3176" w:type="dxa"/>
          </w:tcPr>
          <w:p w:rsidR="00790553" w:rsidRPr="005A7048" w:rsidRDefault="00790553" w:rsidP="00BE03B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A7048">
              <w:rPr>
                <w:rFonts w:ascii="Arial" w:hAnsi="Arial" w:cs="Arial"/>
              </w:rPr>
              <w:t>Service Vehicles</w:t>
            </w:r>
          </w:p>
        </w:tc>
        <w:tc>
          <w:tcPr>
            <w:tcW w:w="4966" w:type="dxa"/>
          </w:tcPr>
          <w:p w:rsidR="00790553" w:rsidRPr="005A7048" w:rsidRDefault="00790553" w:rsidP="00BE03B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A7048">
              <w:rPr>
                <w:rFonts w:ascii="Arial" w:hAnsi="Arial" w:cs="Arial"/>
              </w:rPr>
              <w:t>Not more than 20% will meet or exceed FTA ULB</w:t>
            </w:r>
          </w:p>
        </w:tc>
      </w:tr>
      <w:tr w:rsidR="00790553" w:rsidRPr="005A7048" w:rsidTr="00BE0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9" w:type="dxa"/>
            <w:vMerge/>
          </w:tcPr>
          <w:p w:rsidR="00790553" w:rsidRPr="005A7048" w:rsidRDefault="00790553" w:rsidP="00BE03B9">
            <w:pPr>
              <w:rPr>
                <w:rFonts w:ascii="Arial" w:hAnsi="Arial" w:cs="Arial"/>
              </w:rPr>
            </w:pPr>
          </w:p>
        </w:tc>
        <w:tc>
          <w:tcPr>
            <w:tcW w:w="3176" w:type="dxa"/>
          </w:tcPr>
          <w:p w:rsidR="00790553" w:rsidRPr="005A7048" w:rsidRDefault="00790553" w:rsidP="00BE03B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A7048">
              <w:rPr>
                <w:rFonts w:ascii="Arial" w:hAnsi="Arial" w:cs="Arial"/>
              </w:rPr>
              <w:t>Maintenance Equipment</w:t>
            </w:r>
          </w:p>
        </w:tc>
        <w:tc>
          <w:tcPr>
            <w:tcW w:w="4966" w:type="dxa"/>
          </w:tcPr>
          <w:p w:rsidR="00790553" w:rsidRPr="005A7048" w:rsidRDefault="00790553" w:rsidP="00BE03B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A7048">
              <w:rPr>
                <w:rFonts w:ascii="Arial" w:hAnsi="Arial" w:cs="Arial"/>
              </w:rPr>
              <w:t>Not more than 20% will be below 3.0 on TERM Scale</w:t>
            </w:r>
          </w:p>
        </w:tc>
      </w:tr>
      <w:tr w:rsidR="00790553" w:rsidRPr="005A7048" w:rsidTr="00BE03B9">
        <w:tc>
          <w:tcPr>
            <w:cnfStyle w:val="001000000000" w:firstRow="0" w:lastRow="0" w:firstColumn="1" w:lastColumn="0" w:oddVBand="0" w:evenVBand="0" w:oddHBand="0" w:evenHBand="0" w:firstRowFirstColumn="0" w:firstRowLastColumn="0" w:lastRowFirstColumn="0" w:lastRowLastColumn="0"/>
            <w:tcW w:w="1499" w:type="dxa"/>
            <w:vMerge/>
          </w:tcPr>
          <w:p w:rsidR="00790553" w:rsidRPr="005A7048" w:rsidRDefault="00790553" w:rsidP="00BE03B9">
            <w:pPr>
              <w:rPr>
                <w:rFonts w:ascii="Arial" w:hAnsi="Arial" w:cs="Arial"/>
              </w:rPr>
            </w:pPr>
          </w:p>
        </w:tc>
        <w:tc>
          <w:tcPr>
            <w:tcW w:w="3176" w:type="dxa"/>
          </w:tcPr>
          <w:p w:rsidR="00790553" w:rsidRPr="005A7048" w:rsidRDefault="00790553" w:rsidP="00BE03B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A7048">
              <w:rPr>
                <w:rFonts w:ascii="Arial" w:hAnsi="Arial" w:cs="Arial"/>
              </w:rPr>
              <w:t>Building Subsystems</w:t>
            </w:r>
          </w:p>
        </w:tc>
        <w:tc>
          <w:tcPr>
            <w:tcW w:w="4966" w:type="dxa"/>
          </w:tcPr>
          <w:p w:rsidR="00790553" w:rsidRPr="005A7048" w:rsidRDefault="00790553" w:rsidP="00BE03B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A7048">
              <w:rPr>
                <w:rFonts w:ascii="Arial" w:hAnsi="Arial" w:cs="Arial"/>
              </w:rPr>
              <w:t>Not more than 10% will be below 3.0 on TERM Scale</w:t>
            </w:r>
          </w:p>
        </w:tc>
      </w:tr>
      <w:tr w:rsidR="00790553" w:rsidRPr="005A7048" w:rsidTr="00BE0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9" w:type="dxa"/>
          </w:tcPr>
          <w:p w:rsidR="00790553" w:rsidRPr="005A7048" w:rsidRDefault="00790553" w:rsidP="00BE03B9">
            <w:pPr>
              <w:rPr>
                <w:rFonts w:ascii="Arial" w:hAnsi="Arial" w:cs="Arial"/>
              </w:rPr>
            </w:pPr>
            <w:r w:rsidRPr="005A7048">
              <w:rPr>
                <w:rFonts w:ascii="Arial" w:hAnsi="Arial" w:cs="Arial"/>
              </w:rPr>
              <w:t>Facilities</w:t>
            </w:r>
          </w:p>
        </w:tc>
        <w:tc>
          <w:tcPr>
            <w:tcW w:w="3176" w:type="dxa"/>
          </w:tcPr>
          <w:p w:rsidR="00790553" w:rsidRPr="005A7048" w:rsidRDefault="00790553" w:rsidP="00BE03B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A7048">
              <w:rPr>
                <w:rFonts w:ascii="Arial" w:hAnsi="Arial" w:cs="Arial"/>
              </w:rPr>
              <w:t>All fixed facilities</w:t>
            </w:r>
          </w:p>
        </w:tc>
        <w:tc>
          <w:tcPr>
            <w:tcW w:w="4966" w:type="dxa"/>
          </w:tcPr>
          <w:p w:rsidR="00790553" w:rsidRPr="005A7048" w:rsidRDefault="00790553" w:rsidP="00BE03B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A7048">
              <w:rPr>
                <w:rFonts w:ascii="Arial" w:hAnsi="Arial" w:cs="Arial"/>
              </w:rPr>
              <w:t>Not more than 10% will be below 3.0 on TERM Scale</w:t>
            </w:r>
          </w:p>
        </w:tc>
      </w:tr>
    </w:tbl>
    <w:p w:rsidR="00790553" w:rsidRDefault="00790553" w:rsidP="00790553">
      <w:pPr>
        <w:autoSpaceDE w:val="0"/>
        <w:autoSpaceDN w:val="0"/>
        <w:adjustRightInd w:val="0"/>
        <w:spacing w:after="0" w:line="240" w:lineRule="auto"/>
        <w:jc w:val="center"/>
        <w:rPr>
          <w:rFonts w:ascii="Arial" w:hAnsi="Arial" w:cs="Arial"/>
          <w:bCs/>
          <w:sz w:val="24"/>
          <w:szCs w:val="24"/>
        </w:rPr>
      </w:pPr>
    </w:p>
    <w:p w:rsidR="006427FA" w:rsidRDefault="006427FA" w:rsidP="006427FA">
      <w:pPr>
        <w:autoSpaceDE w:val="0"/>
        <w:autoSpaceDN w:val="0"/>
        <w:adjustRightInd w:val="0"/>
        <w:spacing w:after="0" w:line="240" w:lineRule="auto"/>
        <w:rPr>
          <w:rFonts w:ascii="Arial" w:hAnsi="Arial" w:cs="Arial"/>
          <w:b/>
          <w:bCs/>
          <w:sz w:val="24"/>
          <w:szCs w:val="24"/>
        </w:rPr>
      </w:pPr>
    </w:p>
    <w:p w:rsidR="006427FA" w:rsidRPr="007F0546" w:rsidRDefault="006427FA" w:rsidP="006427FA">
      <w:pPr>
        <w:autoSpaceDE w:val="0"/>
        <w:autoSpaceDN w:val="0"/>
        <w:adjustRightInd w:val="0"/>
        <w:spacing w:after="0" w:line="240" w:lineRule="auto"/>
        <w:rPr>
          <w:rFonts w:ascii="Arial" w:hAnsi="Arial" w:cs="Arial"/>
          <w:b/>
          <w:bCs/>
          <w:sz w:val="28"/>
          <w:szCs w:val="28"/>
        </w:rPr>
      </w:pPr>
      <w:r w:rsidRPr="007F0546">
        <w:rPr>
          <w:rFonts w:ascii="Arial" w:hAnsi="Arial" w:cs="Arial"/>
          <w:b/>
          <w:bCs/>
          <w:sz w:val="28"/>
          <w:szCs w:val="28"/>
        </w:rPr>
        <w:t>FY2017-2020 TIP Performance Measure Related Projects</w:t>
      </w:r>
    </w:p>
    <w:p w:rsidR="006427FA" w:rsidRDefault="006427FA" w:rsidP="006427FA">
      <w:pPr>
        <w:autoSpaceDE w:val="0"/>
        <w:autoSpaceDN w:val="0"/>
        <w:adjustRightInd w:val="0"/>
        <w:spacing w:after="0" w:line="240" w:lineRule="auto"/>
        <w:rPr>
          <w:rFonts w:ascii="Arial" w:hAnsi="Arial" w:cs="Arial"/>
          <w:bCs/>
          <w:sz w:val="24"/>
          <w:szCs w:val="24"/>
        </w:rPr>
      </w:pPr>
      <w:r>
        <w:rPr>
          <w:rFonts w:ascii="Arial" w:hAnsi="Arial" w:cs="Arial"/>
          <w:bCs/>
          <w:sz w:val="24"/>
          <w:szCs w:val="24"/>
        </w:rPr>
        <w:br/>
        <w:t>Below is a listing of the total amount of money programmed in the original approved FY2017-2020 TIP that will make progress toward the performance measure categories listed below:</w:t>
      </w:r>
    </w:p>
    <w:p w:rsidR="006427FA" w:rsidRDefault="006427FA" w:rsidP="006427FA">
      <w:pPr>
        <w:autoSpaceDE w:val="0"/>
        <w:autoSpaceDN w:val="0"/>
        <w:adjustRightInd w:val="0"/>
        <w:spacing w:after="0" w:line="240" w:lineRule="auto"/>
        <w:rPr>
          <w:rFonts w:ascii="Arial" w:hAnsi="Arial" w:cs="Arial"/>
          <w:bCs/>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36"/>
        <w:gridCol w:w="2465"/>
        <w:gridCol w:w="1747"/>
        <w:gridCol w:w="2328"/>
      </w:tblGrid>
      <w:tr w:rsidR="00C43998" w:rsidTr="002D1A77">
        <w:tc>
          <w:tcPr>
            <w:tcW w:w="3036" w:type="dxa"/>
            <w:shd w:val="clear" w:color="auto" w:fill="95B3D7" w:themeFill="accent1" w:themeFillTint="99"/>
          </w:tcPr>
          <w:p w:rsidR="00C43998" w:rsidRPr="00263AEF" w:rsidRDefault="00C43998" w:rsidP="00F708C5">
            <w:pPr>
              <w:autoSpaceDE w:val="0"/>
              <w:autoSpaceDN w:val="0"/>
              <w:adjustRightInd w:val="0"/>
              <w:rPr>
                <w:rFonts w:ascii="Arial" w:hAnsi="Arial" w:cs="Arial"/>
                <w:b/>
                <w:bCs/>
                <w:sz w:val="24"/>
                <w:szCs w:val="24"/>
              </w:rPr>
            </w:pPr>
            <w:r w:rsidRPr="00263AEF">
              <w:rPr>
                <w:rFonts w:ascii="Arial" w:hAnsi="Arial" w:cs="Arial"/>
                <w:b/>
                <w:bCs/>
                <w:sz w:val="24"/>
                <w:szCs w:val="24"/>
              </w:rPr>
              <w:t>Project Category</w:t>
            </w:r>
          </w:p>
        </w:tc>
        <w:tc>
          <w:tcPr>
            <w:tcW w:w="2465" w:type="dxa"/>
            <w:shd w:val="clear" w:color="auto" w:fill="95B3D7" w:themeFill="accent1" w:themeFillTint="99"/>
          </w:tcPr>
          <w:p w:rsidR="00C43998" w:rsidRPr="00263AEF" w:rsidRDefault="00C43998" w:rsidP="00F708C5">
            <w:pPr>
              <w:autoSpaceDE w:val="0"/>
              <w:autoSpaceDN w:val="0"/>
              <w:adjustRightInd w:val="0"/>
              <w:rPr>
                <w:rFonts w:ascii="Arial" w:hAnsi="Arial" w:cs="Arial"/>
                <w:b/>
                <w:bCs/>
                <w:sz w:val="24"/>
                <w:szCs w:val="24"/>
              </w:rPr>
            </w:pPr>
            <w:r w:rsidRPr="00263AEF">
              <w:rPr>
                <w:rFonts w:ascii="Arial" w:hAnsi="Arial" w:cs="Arial"/>
                <w:b/>
                <w:bCs/>
                <w:sz w:val="24"/>
                <w:szCs w:val="24"/>
              </w:rPr>
              <w:t>Amount Programmed</w:t>
            </w:r>
          </w:p>
        </w:tc>
        <w:tc>
          <w:tcPr>
            <w:tcW w:w="1747" w:type="dxa"/>
            <w:shd w:val="clear" w:color="auto" w:fill="95B3D7" w:themeFill="accent1" w:themeFillTint="99"/>
          </w:tcPr>
          <w:p w:rsidR="00C43998" w:rsidRPr="00263AEF" w:rsidRDefault="00C43998" w:rsidP="00F708C5">
            <w:pPr>
              <w:autoSpaceDE w:val="0"/>
              <w:autoSpaceDN w:val="0"/>
              <w:adjustRightInd w:val="0"/>
              <w:rPr>
                <w:rFonts w:ascii="Arial" w:hAnsi="Arial" w:cs="Arial"/>
                <w:b/>
                <w:bCs/>
                <w:sz w:val="24"/>
                <w:szCs w:val="24"/>
              </w:rPr>
            </w:pPr>
            <w:r>
              <w:rPr>
                <w:rFonts w:ascii="Arial" w:hAnsi="Arial" w:cs="Arial"/>
                <w:b/>
                <w:bCs/>
                <w:sz w:val="24"/>
                <w:szCs w:val="24"/>
              </w:rPr>
              <w:t>Percentage of Available funding</w:t>
            </w:r>
          </w:p>
        </w:tc>
        <w:tc>
          <w:tcPr>
            <w:tcW w:w="2328" w:type="dxa"/>
            <w:shd w:val="clear" w:color="auto" w:fill="95B3D7" w:themeFill="accent1" w:themeFillTint="99"/>
          </w:tcPr>
          <w:p w:rsidR="00C43998" w:rsidRPr="00263AEF" w:rsidRDefault="00C43998" w:rsidP="00F708C5">
            <w:pPr>
              <w:autoSpaceDE w:val="0"/>
              <w:autoSpaceDN w:val="0"/>
              <w:adjustRightInd w:val="0"/>
              <w:rPr>
                <w:rFonts w:ascii="Arial" w:hAnsi="Arial" w:cs="Arial"/>
                <w:b/>
                <w:bCs/>
                <w:sz w:val="24"/>
                <w:szCs w:val="24"/>
              </w:rPr>
            </w:pPr>
            <w:r w:rsidRPr="00263AEF">
              <w:rPr>
                <w:rFonts w:ascii="Arial" w:hAnsi="Arial" w:cs="Arial"/>
                <w:b/>
                <w:bCs/>
                <w:sz w:val="24"/>
                <w:szCs w:val="24"/>
              </w:rPr>
              <w:t>Impact on Condition</w:t>
            </w:r>
          </w:p>
          <w:p w:rsidR="00C43998" w:rsidRPr="00263AEF" w:rsidRDefault="00C43998" w:rsidP="00F708C5">
            <w:pPr>
              <w:autoSpaceDE w:val="0"/>
              <w:autoSpaceDN w:val="0"/>
              <w:adjustRightInd w:val="0"/>
              <w:rPr>
                <w:rFonts w:ascii="Arial" w:hAnsi="Arial" w:cs="Arial"/>
                <w:b/>
                <w:bCs/>
                <w:sz w:val="24"/>
                <w:szCs w:val="24"/>
              </w:rPr>
            </w:pPr>
          </w:p>
        </w:tc>
      </w:tr>
      <w:tr w:rsidR="00C43998" w:rsidTr="002D1A77">
        <w:tc>
          <w:tcPr>
            <w:tcW w:w="3036" w:type="dxa"/>
          </w:tcPr>
          <w:p w:rsidR="00C43998" w:rsidRDefault="00C43998" w:rsidP="00F708C5">
            <w:pPr>
              <w:autoSpaceDE w:val="0"/>
              <w:autoSpaceDN w:val="0"/>
              <w:adjustRightInd w:val="0"/>
              <w:rPr>
                <w:rFonts w:ascii="Arial" w:hAnsi="Arial" w:cs="Arial"/>
                <w:bCs/>
                <w:sz w:val="24"/>
                <w:szCs w:val="24"/>
              </w:rPr>
            </w:pPr>
            <w:r w:rsidRPr="00263AEF">
              <w:rPr>
                <w:rFonts w:ascii="Arial" w:hAnsi="Arial" w:cs="Arial"/>
                <w:bCs/>
                <w:sz w:val="24"/>
                <w:szCs w:val="24"/>
              </w:rPr>
              <w:t>Safety/Non-Motorized</w:t>
            </w:r>
          </w:p>
        </w:tc>
        <w:tc>
          <w:tcPr>
            <w:tcW w:w="2465" w:type="dxa"/>
          </w:tcPr>
          <w:p w:rsidR="00C43998" w:rsidRPr="00263AEF" w:rsidRDefault="00C43998" w:rsidP="00F708C5">
            <w:pPr>
              <w:rPr>
                <w:rFonts w:ascii="Arial" w:hAnsi="Arial" w:cs="Arial"/>
                <w:bCs/>
                <w:sz w:val="24"/>
                <w:szCs w:val="24"/>
              </w:rPr>
            </w:pPr>
            <w:r w:rsidRPr="00263AEF">
              <w:rPr>
                <w:rFonts w:ascii="Arial" w:hAnsi="Arial" w:cs="Arial"/>
                <w:bCs/>
                <w:sz w:val="24"/>
                <w:szCs w:val="24"/>
              </w:rPr>
              <w:t>$66,510,328</w:t>
            </w:r>
          </w:p>
          <w:p w:rsidR="00C43998" w:rsidRDefault="00C43998" w:rsidP="00F708C5">
            <w:pPr>
              <w:autoSpaceDE w:val="0"/>
              <w:autoSpaceDN w:val="0"/>
              <w:adjustRightInd w:val="0"/>
              <w:rPr>
                <w:rFonts w:ascii="Arial" w:hAnsi="Arial" w:cs="Arial"/>
                <w:bCs/>
                <w:sz w:val="24"/>
                <w:szCs w:val="24"/>
              </w:rPr>
            </w:pPr>
          </w:p>
        </w:tc>
        <w:tc>
          <w:tcPr>
            <w:tcW w:w="1747" w:type="dxa"/>
          </w:tcPr>
          <w:p w:rsidR="00C43998" w:rsidRDefault="00C43998" w:rsidP="00F708C5">
            <w:pPr>
              <w:autoSpaceDE w:val="0"/>
              <w:autoSpaceDN w:val="0"/>
              <w:adjustRightInd w:val="0"/>
              <w:rPr>
                <w:rFonts w:ascii="Arial" w:hAnsi="Arial" w:cs="Arial"/>
                <w:bCs/>
                <w:sz w:val="24"/>
                <w:szCs w:val="24"/>
              </w:rPr>
            </w:pPr>
            <w:r>
              <w:rPr>
                <w:rFonts w:ascii="Arial" w:hAnsi="Arial" w:cs="Arial"/>
                <w:bCs/>
                <w:sz w:val="24"/>
                <w:szCs w:val="24"/>
              </w:rPr>
              <w:t>13%</w:t>
            </w:r>
          </w:p>
        </w:tc>
        <w:tc>
          <w:tcPr>
            <w:tcW w:w="2328" w:type="dxa"/>
          </w:tcPr>
          <w:p w:rsidR="00C43998" w:rsidRDefault="00C43998" w:rsidP="00F708C5">
            <w:pPr>
              <w:autoSpaceDE w:val="0"/>
              <w:autoSpaceDN w:val="0"/>
              <w:adjustRightInd w:val="0"/>
              <w:rPr>
                <w:rFonts w:ascii="Arial" w:hAnsi="Arial" w:cs="Arial"/>
                <w:bCs/>
                <w:sz w:val="24"/>
                <w:szCs w:val="24"/>
              </w:rPr>
            </w:pPr>
            <w:r>
              <w:rPr>
                <w:rFonts w:ascii="Arial" w:hAnsi="Arial" w:cs="Arial"/>
                <w:bCs/>
                <w:sz w:val="24"/>
                <w:szCs w:val="24"/>
              </w:rPr>
              <w:t>Reduce potential for motor vehicle crashes and non-motorized crashes, injuries and fatalities</w:t>
            </w:r>
          </w:p>
        </w:tc>
      </w:tr>
      <w:tr w:rsidR="00C43998" w:rsidTr="002D1A77">
        <w:tc>
          <w:tcPr>
            <w:tcW w:w="3036" w:type="dxa"/>
          </w:tcPr>
          <w:p w:rsidR="00C43998" w:rsidRPr="00263AEF" w:rsidRDefault="00C43998" w:rsidP="00F708C5">
            <w:pPr>
              <w:autoSpaceDE w:val="0"/>
              <w:autoSpaceDN w:val="0"/>
              <w:adjustRightInd w:val="0"/>
              <w:rPr>
                <w:rFonts w:ascii="Arial" w:hAnsi="Arial" w:cs="Arial"/>
                <w:bCs/>
                <w:sz w:val="24"/>
                <w:szCs w:val="24"/>
              </w:rPr>
            </w:pPr>
            <w:r w:rsidRPr="00263AEF">
              <w:rPr>
                <w:rFonts w:ascii="Arial" w:hAnsi="Arial" w:cs="Arial"/>
                <w:bCs/>
                <w:sz w:val="24"/>
                <w:szCs w:val="24"/>
              </w:rPr>
              <w:t>Pavement Preservation</w:t>
            </w:r>
          </w:p>
        </w:tc>
        <w:tc>
          <w:tcPr>
            <w:tcW w:w="2465" w:type="dxa"/>
          </w:tcPr>
          <w:p w:rsidR="00C43998" w:rsidRPr="00263AEF" w:rsidRDefault="00C43998" w:rsidP="00F708C5">
            <w:pPr>
              <w:rPr>
                <w:rFonts w:ascii="Arial" w:hAnsi="Arial" w:cs="Arial"/>
                <w:bCs/>
                <w:sz w:val="24"/>
                <w:szCs w:val="24"/>
              </w:rPr>
            </w:pPr>
            <w:r w:rsidRPr="00263AEF">
              <w:rPr>
                <w:rFonts w:ascii="Arial" w:hAnsi="Arial" w:cs="Arial"/>
                <w:bCs/>
                <w:sz w:val="24"/>
                <w:szCs w:val="24"/>
              </w:rPr>
              <w:t>$273,726,854</w:t>
            </w:r>
          </w:p>
        </w:tc>
        <w:tc>
          <w:tcPr>
            <w:tcW w:w="1747" w:type="dxa"/>
          </w:tcPr>
          <w:p w:rsidR="00C43998" w:rsidRDefault="00C43998" w:rsidP="00F708C5">
            <w:pPr>
              <w:autoSpaceDE w:val="0"/>
              <w:autoSpaceDN w:val="0"/>
              <w:adjustRightInd w:val="0"/>
              <w:rPr>
                <w:rFonts w:ascii="Arial" w:hAnsi="Arial" w:cs="Arial"/>
                <w:bCs/>
                <w:sz w:val="24"/>
                <w:szCs w:val="24"/>
              </w:rPr>
            </w:pPr>
            <w:r>
              <w:rPr>
                <w:rFonts w:ascii="Arial" w:hAnsi="Arial" w:cs="Arial"/>
                <w:bCs/>
                <w:sz w:val="24"/>
                <w:szCs w:val="24"/>
              </w:rPr>
              <w:t>53%</w:t>
            </w:r>
          </w:p>
        </w:tc>
        <w:tc>
          <w:tcPr>
            <w:tcW w:w="2328" w:type="dxa"/>
          </w:tcPr>
          <w:p w:rsidR="00C43998" w:rsidRDefault="00C43998" w:rsidP="00F708C5">
            <w:pPr>
              <w:autoSpaceDE w:val="0"/>
              <w:autoSpaceDN w:val="0"/>
              <w:adjustRightInd w:val="0"/>
              <w:rPr>
                <w:rFonts w:ascii="Arial" w:hAnsi="Arial" w:cs="Arial"/>
                <w:bCs/>
                <w:sz w:val="24"/>
                <w:szCs w:val="24"/>
              </w:rPr>
            </w:pPr>
            <w:r>
              <w:rPr>
                <w:rFonts w:ascii="Arial" w:hAnsi="Arial" w:cs="Arial"/>
                <w:bCs/>
                <w:sz w:val="24"/>
                <w:szCs w:val="24"/>
              </w:rPr>
              <w:t>Improve surface condition and IRI, eliminate issues with cracking, rutting and faulting</w:t>
            </w:r>
          </w:p>
        </w:tc>
      </w:tr>
      <w:tr w:rsidR="00C43998" w:rsidTr="002D1A77">
        <w:tc>
          <w:tcPr>
            <w:tcW w:w="3036" w:type="dxa"/>
          </w:tcPr>
          <w:p w:rsidR="00C43998" w:rsidRPr="00263AEF" w:rsidRDefault="00C43998" w:rsidP="00F708C5">
            <w:pPr>
              <w:autoSpaceDE w:val="0"/>
              <w:autoSpaceDN w:val="0"/>
              <w:adjustRightInd w:val="0"/>
              <w:rPr>
                <w:rFonts w:ascii="Arial" w:hAnsi="Arial" w:cs="Arial"/>
                <w:bCs/>
                <w:sz w:val="24"/>
                <w:szCs w:val="24"/>
              </w:rPr>
            </w:pPr>
            <w:r w:rsidRPr="00263AEF">
              <w:rPr>
                <w:rFonts w:ascii="Arial" w:hAnsi="Arial" w:cs="Arial"/>
                <w:bCs/>
                <w:sz w:val="24"/>
                <w:szCs w:val="24"/>
              </w:rPr>
              <w:t>Transit</w:t>
            </w:r>
          </w:p>
        </w:tc>
        <w:tc>
          <w:tcPr>
            <w:tcW w:w="2465" w:type="dxa"/>
          </w:tcPr>
          <w:p w:rsidR="00C43998" w:rsidRPr="00263AEF" w:rsidRDefault="00C43998" w:rsidP="00F708C5">
            <w:pPr>
              <w:rPr>
                <w:rFonts w:ascii="Arial" w:hAnsi="Arial" w:cs="Arial"/>
                <w:bCs/>
                <w:sz w:val="24"/>
                <w:szCs w:val="24"/>
              </w:rPr>
            </w:pPr>
            <w:r w:rsidRPr="00263AEF">
              <w:rPr>
                <w:rFonts w:ascii="Arial" w:hAnsi="Arial" w:cs="Arial"/>
                <w:bCs/>
                <w:sz w:val="24"/>
                <w:szCs w:val="24"/>
              </w:rPr>
              <w:t>$136,539,544</w:t>
            </w:r>
          </w:p>
        </w:tc>
        <w:tc>
          <w:tcPr>
            <w:tcW w:w="1747" w:type="dxa"/>
          </w:tcPr>
          <w:p w:rsidR="00C43998" w:rsidRDefault="00C43998" w:rsidP="00F708C5">
            <w:pPr>
              <w:autoSpaceDE w:val="0"/>
              <w:autoSpaceDN w:val="0"/>
              <w:adjustRightInd w:val="0"/>
              <w:rPr>
                <w:rFonts w:ascii="Arial" w:hAnsi="Arial" w:cs="Arial"/>
                <w:bCs/>
                <w:sz w:val="24"/>
                <w:szCs w:val="24"/>
              </w:rPr>
            </w:pPr>
            <w:r>
              <w:rPr>
                <w:rFonts w:ascii="Arial" w:hAnsi="Arial" w:cs="Arial"/>
                <w:bCs/>
                <w:sz w:val="24"/>
                <w:szCs w:val="24"/>
              </w:rPr>
              <w:t>27%</w:t>
            </w:r>
          </w:p>
        </w:tc>
        <w:tc>
          <w:tcPr>
            <w:tcW w:w="2328" w:type="dxa"/>
          </w:tcPr>
          <w:p w:rsidR="00C43998" w:rsidRDefault="00C43998" w:rsidP="00F708C5">
            <w:pPr>
              <w:autoSpaceDE w:val="0"/>
              <w:autoSpaceDN w:val="0"/>
              <w:adjustRightInd w:val="0"/>
              <w:rPr>
                <w:rFonts w:ascii="Arial" w:hAnsi="Arial" w:cs="Arial"/>
                <w:bCs/>
                <w:sz w:val="24"/>
                <w:szCs w:val="24"/>
              </w:rPr>
            </w:pPr>
            <w:r>
              <w:rPr>
                <w:rFonts w:ascii="Arial" w:hAnsi="Arial" w:cs="Arial"/>
                <w:bCs/>
                <w:sz w:val="24"/>
                <w:szCs w:val="24"/>
              </w:rPr>
              <w:t>Reduce percentage of vehicles, equipment and facilities that are past useful life benchmark</w:t>
            </w:r>
          </w:p>
        </w:tc>
      </w:tr>
      <w:tr w:rsidR="00C43998" w:rsidTr="002D1A77">
        <w:tc>
          <w:tcPr>
            <w:tcW w:w="3036" w:type="dxa"/>
          </w:tcPr>
          <w:p w:rsidR="00C43998" w:rsidRPr="00263AEF" w:rsidRDefault="00C43998" w:rsidP="00F708C5">
            <w:pPr>
              <w:autoSpaceDE w:val="0"/>
              <w:autoSpaceDN w:val="0"/>
              <w:adjustRightInd w:val="0"/>
              <w:rPr>
                <w:rFonts w:ascii="Arial" w:hAnsi="Arial" w:cs="Arial"/>
                <w:bCs/>
                <w:sz w:val="24"/>
                <w:szCs w:val="24"/>
              </w:rPr>
            </w:pPr>
            <w:r w:rsidRPr="00263AEF">
              <w:rPr>
                <w:rFonts w:ascii="Arial" w:hAnsi="Arial" w:cs="Arial"/>
                <w:bCs/>
                <w:sz w:val="24"/>
                <w:szCs w:val="24"/>
              </w:rPr>
              <w:t>Bridges</w:t>
            </w:r>
          </w:p>
        </w:tc>
        <w:tc>
          <w:tcPr>
            <w:tcW w:w="2465" w:type="dxa"/>
          </w:tcPr>
          <w:p w:rsidR="00C43998" w:rsidRPr="00263AEF" w:rsidRDefault="00C43998" w:rsidP="00F708C5">
            <w:pPr>
              <w:rPr>
                <w:rFonts w:ascii="Arial" w:hAnsi="Arial" w:cs="Arial"/>
                <w:bCs/>
                <w:sz w:val="24"/>
                <w:szCs w:val="24"/>
              </w:rPr>
            </w:pPr>
            <w:r w:rsidRPr="00263AEF">
              <w:rPr>
                <w:rFonts w:ascii="Arial" w:hAnsi="Arial" w:cs="Arial"/>
                <w:bCs/>
                <w:sz w:val="24"/>
                <w:szCs w:val="24"/>
              </w:rPr>
              <w:t>$25,183,928</w:t>
            </w:r>
          </w:p>
          <w:p w:rsidR="00C43998" w:rsidRPr="00263AEF" w:rsidRDefault="00C43998" w:rsidP="00F708C5">
            <w:pPr>
              <w:rPr>
                <w:rFonts w:ascii="Arial" w:hAnsi="Arial" w:cs="Arial"/>
                <w:bCs/>
                <w:sz w:val="24"/>
                <w:szCs w:val="24"/>
              </w:rPr>
            </w:pPr>
          </w:p>
        </w:tc>
        <w:tc>
          <w:tcPr>
            <w:tcW w:w="1747" w:type="dxa"/>
          </w:tcPr>
          <w:p w:rsidR="00C43998" w:rsidRDefault="00C43998" w:rsidP="00F708C5">
            <w:pPr>
              <w:autoSpaceDE w:val="0"/>
              <w:autoSpaceDN w:val="0"/>
              <w:adjustRightInd w:val="0"/>
              <w:rPr>
                <w:rFonts w:ascii="Arial" w:hAnsi="Arial" w:cs="Arial"/>
                <w:bCs/>
                <w:sz w:val="24"/>
                <w:szCs w:val="24"/>
              </w:rPr>
            </w:pPr>
            <w:r>
              <w:rPr>
                <w:rFonts w:ascii="Arial" w:hAnsi="Arial" w:cs="Arial"/>
                <w:bCs/>
                <w:sz w:val="24"/>
                <w:szCs w:val="24"/>
              </w:rPr>
              <w:t>5%</w:t>
            </w:r>
          </w:p>
        </w:tc>
        <w:tc>
          <w:tcPr>
            <w:tcW w:w="2328" w:type="dxa"/>
          </w:tcPr>
          <w:p w:rsidR="00C43998" w:rsidRDefault="00C43998" w:rsidP="00F708C5">
            <w:pPr>
              <w:autoSpaceDE w:val="0"/>
              <w:autoSpaceDN w:val="0"/>
              <w:adjustRightInd w:val="0"/>
              <w:rPr>
                <w:rFonts w:ascii="Arial" w:hAnsi="Arial" w:cs="Arial"/>
                <w:bCs/>
                <w:sz w:val="24"/>
                <w:szCs w:val="24"/>
              </w:rPr>
            </w:pPr>
            <w:r>
              <w:rPr>
                <w:rFonts w:ascii="Arial" w:hAnsi="Arial" w:cs="Arial"/>
                <w:bCs/>
                <w:sz w:val="24"/>
                <w:szCs w:val="24"/>
              </w:rPr>
              <w:t xml:space="preserve">Reduce the number of structurally deficient and </w:t>
            </w:r>
            <w:r>
              <w:rPr>
                <w:rFonts w:ascii="Arial" w:hAnsi="Arial" w:cs="Arial"/>
                <w:bCs/>
                <w:sz w:val="24"/>
                <w:szCs w:val="24"/>
              </w:rPr>
              <w:lastRenderedPageBreak/>
              <w:t>functionally obsolete bridges</w:t>
            </w:r>
          </w:p>
        </w:tc>
      </w:tr>
      <w:tr w:rsidR="00C43998" w:rsidTr="002D1A77">
        <w:tc>
          <w:tcPr>
            <w:tcW w:w="3036" w:type="dxa"/>
          </w:tcPr>
          <w:p w:rsidR="00C43998" w:rsidRPr="00263AEF" w:rsidRDefault="00C43998" w:rsidP="00F708C5">
            <w:pPr>
              <w:autoSpaceDE w:val="0"/>
              <w:autoSpaceDN w:val="0"/>
              <w:adjustRightInd w:val="0"/>
              <w:rPr>
                <w:rFonts w:ascii="Arial" w:hAnsi="Arial" w:cs="Arial"/>
                <w:bCs/>
                <w:sz w:val="24"/>
                <w:szCs w:val="24"/>
              </w:rPr>
            </w:pPr>
            <w:r w:rsidRPr="00263AEF">
              <w:rPr>
                <w:rFonts w:ascii="Arial" w:hAnsi="Arial" w:cs="Arial"/>
                <w:bCs/>
                <w:sz w:val="24"/>
                <w:szCs w:val="24"/>
              </w:rPr>
              <w:lastRenderedPageBreak/>
              <w:t>System Performance/Congestion</w:t>
            </w:r>
          </w:p>
        </w:tc>
        <w:tc>
          <w:tcPr>
            <w:tcW w:w="2465" w:type="dxa"/>
          </w:tcPr>
          <w:p w:rsidR="00C43998" w:rsidRPr="00263AEF" w:rsidRDefault="00C43998" w:rsidP="00F708C5">
            <w:pPr>
              <w:rPr>
                <w:rFonts w:ascii="Arial" w:hAnsi="Arial" w:cs="Arial"/>
                <w:bCs/>
                <w:sz w:val="24"/>
                <w:szCs w:val="24"/>
              </w:rPr>
            </w:pPr>
            <w:r w:rsidRPr="00263AEF">
              <w:rPr>
                <w:rFonts w:ascii="Arial" w:hAnsi="Arial" w:cs="Arial"/>
                <w:bCs/>
                <w:sz w:val="24"/>
                <w:szCs w:val="24"/>
              </w:rPr>
              <w:t>$9,038,980</w:t>
            </w:r>
          </w:p>
          <w:p w:rsidR="00C43998" w:rsidRPr="00263AEF" w:rsidRDefault="00C43998" w:rsidP="00F708C5">
            <w:pPr>
              <w:rPr>
                <w:rFonts w:ascii="Arial" w:hAnsi="Arial" w:cs="Arial"/>
                <w:bCs/>
                <w:sz w:val="24"/>
                <w:szCs w:val="24"/>
              </w:rPr>
            </w:pPr>
          </w:p>
        </w:tc>
        <w:tc>
          <w:tcPr>
            <w:tcW w:w="1747" w:type="dxa"/>
          </w:tcPr>
          <w:p w:rsidR="00C43998" w:rsidRDefault="00C43998" w:rsidP="00F708C5">
            <w:pPr>
              <w:autoSpaceDE w:val="0"/>
              <w:autoSpaceDN w:val="0"/>
              <w:adjustRightInd w:val="0"/>
              <w:rPr>
                <w:rFonts w:ascii="Arial" w:hAnsi="Arial" w:cs="Arial"/>
                <w:bCs/>
                <w:sz w:val="24"/>
                <w:szCs w:val="24"/>
              </w:rPr>
            </w:pPr>
            <w:r>
              <w:rPr>
                <w:rFonts w:ascii="Arial" w:hAnsi="Arial" w:cs="Arial"/>
                <w:bCs/>
                <w:sz w:val="24"/>
                <w:szCs w:val="24"/>
              </w:rPr>
              <w:t>2%</w:t>
            </w:r>
          </w:p>
        </w:tc>
        <w:tc>
          <w:tcPr>
            <w:tcW w:w="2328" w:type="dxa"/>
          </w:tcPr>
          <w:p w:rsidR="00C43998" w:rsidRDefault="00C43998" w:rsidP="00F708C5">
            <w:pPr>
              <w:autoSpaceDE w:val="0"/>
              <w:autoSpaceDN w:val="0"/>
              <w:adjustRightInd w:val="0"/>
              <w:rPr>
                <w:rFonts w:ascii="Arial" w:hAnsi="Arial" w:cs="Arial"/>
                <w:bCs/>
                <w:sz w:val="24"/>
                <w:szCs w:val="24"/>
              </w:rPr>
            </w:pPr>
            <w:r>
              <w:rPr>
                <w:rFonts w:ascii="Arial" w:hAnsi="Arial" w:cs="Arial"/>
                <w:bCs/>
                <w:sz w:val="24"/>
                <w:szCs w:val="24"/>
              </w:rPr>
              <w:t>Improve freight movement, reduce traffic congestion and associated user delay cost</w:t>
            </w:r>
          </w:p>
        </w:tc>
      </w:tr>
      <w:tr w:rsidR="00C43998" w:rsidTr="00C43998">
        <w:tc>
          <w:tcPr>
            <w:tcW w:w="3036" w:type="dxa"/>
          </w:tcPr>
          <w:p w:rsidR="00C43998" w:rsidRPr="002D1A77" w:rsidRDefault="00C43998" w:rsidP="00F708C5">
            <w:pPr>
              <w:autoSpaceDE w:val="0"/>
              <w:autoSpaceDN w:val="0"/>
              <w:adjustRightInd w:val="0"/>
              <w:rPr>
                <w:rFonts w:ascii="Arial" w:hAnsi="Arial" w:cs="Arial"/>
                <w:b/>
                <w:bCs/>
                <w:sz w:val="24"/>
                <w:szCs w:val="24"/>
              </w:rPr>
            </w:pPr>
            <w:r>
              <w:rPr>
                <w:rFonts w:ascii="Arial" w:hAnsi="Arial" w:cs="Arial"/>
                <w:b/>
                <w:bCs/>
                <w:sz w:val="24"/>
                <w:szCs w:val="24"/>
              </w:rPr>
              <w:t>Total funding</w:t>
            </w:r>
          </w:p>
        </w:tc>
        <w:tc>
          <w:tcPr>
            <w:tcW w:w="2465" w:type="dxa"/>
          </w:tcPr>
          <w:p w:rsidR="00C43998" w:rsidRPr="00263AEF" w:rsidRDefault="00C43998" w:rsidP="00F708C5">
            <w:pPr>
              <w:rPr>
                <w:rFonts w:ascii="Arial" w:hAnsi="Arial" w:cs="Arial"/>
                <w:bCs/>
                <w:sz w:val="24"/>
                <w:szCs w:val="24"/>
              </w:rPr>
            </w:pPr>
            <w:r>
              <w:rPr>
                <w:rFonts w:ascii="Arial" w:hAnsi="Arial" w:cs="Arial"/>
                <w:bCs/>
                <w:sz w:val="24"/>
                <w:szCs w:val="24"/>
              </w:rPr>
              <w:t>$510,999,634</w:t>
            </w:r>
          </w:p>
        </w:tc>
        <w:tc>
          <w:tcPr>
            <w:tcW w:w="1747" w:type="dxa"/>
          </w:tcPr>
          <w:p w:rsidR="00C43998" w:rsidRDefault="00C43998" w:rsidP="00F708C5">
            <w:pPr>
              <w:autoSpaceDE w:val="0"/>
              <w:autoSpaceDN w:val="0"/>
              <w:adjustRightInd w:val="0"/>
              <w:rPr>
                <w:rFonts w:ascii="Arial" w:hAnsi="Arial" w:cs="Arial"/>
                <w:bCs/>
                <w:sz w:val="24"/>
                <w:szCs w:val="24"/>
              </w:rPr>
            </w:pPr>
            <w:r>
              <w:rPr>
                <w:rFonts w:ascii="Arial" w:hAnsi="Arial" w:cs="Arial"/>
                <w:bCs/>
                <w:sz w:val="24"/>
                <w:szCs w:val="24"/>
              </w:rPr>
              <w:t>100%</w:t>
            </w:r>
          </w:p>
        </w:tc>
        <w:tc>
          <w:tcPr>
            <w:tcW w:w="2328" w:type="dxa"/>
          </w:tcPr>
          <w:p w:rsidR="00C43998" w:rsidRDefault="00C43998" w:rsidP="00F708C5">
            <w:pPr>
              <w:autoSpaceDE w:val="0"/>
              <w:autoSpaceDN w:val="0"/>
              <w:adjustRightInd w:val="0"/>
              <w:rPr>
                <w:rFonts w:ascii="Arial" w:hAnsi="Arial" w:cs="Arial"/>
                <w:bCs/>
                <w:sz w:val="24"/>
                <w:szCs w:val="24"/>
              </w:rPr>
            </w:pPr>
          </w:p>
        </w:tc>
      </w:tr>
    </w:tbl>
    <w:p w:rsidR="006427FA" w:rsidRPr="00263AEF" w:rsidRDefault="006427FA" w:rsidP="006427FA">
      <w:pPr>
        <w:autoSpaceDE w:val="0"/>
        <w:autoSpaceDN w:val="0"/>
        <w:adjustRightInd w:val="0"/>
        <w:spacing w:after="0" w:line="240" w:lineRule="auto"/>
        <w:rPr>
          <w:rFonts w:ascii="Arial" w:hAnsi="Arial" w:cs="Arial"/>
          <w:bCs/>
          <w:sz w:val="24"/>
          <w:szCs w:val="24"/>
        </w:rPr>
      </w:pPr>
    </w:p>
    <w:p w:rsidR="006427FA" w:rsidRDefault="006427FA" w:rsidP="00DF3DE3">
      <w:pPr>
        <w:autoSpaceDE w:val="0"/>
        <w:autoSpaceDN w:val="0"/>
        <w:adjustRightInd w:val="0"/>
        <w:spacing w:after="0" w:line="240" w:lineRule="auto"/>
        <w:rPr>
          <w:rFonts w:ascii="Arial" w:hAnsi="Arial" w:cs="Arial"/>
          <w:b/>
          <w:bCs/>
          <w:sz w:val="28"/>
          <w:szCs w:val="28"/>
        </w:rPr>
      </w:pPr>
    </w:p>
    <w:p w:rsidR="00A27FC2" w:rsidRPr="00EC27D7" w:rsidRDefault="00A27FC2" w:rsidP="00DF3DE3">
      <w:pPr>
        <w:autoSpaceDE w:val="0"/>
        <w:autoSpaceDN w:val="0"/>
        <w:adjustRightInd w:val="0"/>
        <w:spacing w:after="0" w:line="240" w:lineRule="auto"/>
        <w:rPr>
          <w:rFonts w:ascii="Arial" w:hAnsi="Arial" w:cs="Arial"/>
          <w:b/>
          <w:bCs/>
          <w:sz w:val="28"/>
          <w:szCs w:val="28"/>
        </w:rPr>
      </w:pPr>
      <w:r w:rsidRPr="00EC27D7">
        <w:rPr>
          <w:rFonts w:ascii="Arial" w:hAnsi="Arial" w:cs="Arial"/>
          <w:b/>
          <w:bCs/>
          <w:sz w:val="28"/>
          <w:szCs w:val="28"/>
        </w:rPr>
        <w:t>Summary Chart of Performance Measures and Target Adoption Status</w:t>
      </w:r>
    </w:p>
    <w:p w:rsidR="00EC27D7" w:rsidRPr="00B17787" w:rsidRDefault="00EC27D7" w:rsidP="00DF3DE3">
      <w:pPr>
        <w:autoSpaceDE w:val="0"/>
        <w:autoSpaceDN w:val="0"/>
        <w:adjustRightInd w:val="0"/>
        <w:spacing w:after="0" w:line="240" w:lineRule="auto"/>
        <w:rPr>
          <w:rFonts w:ascii="Arial" w:hAnsi="Arial" w:cs="Arial"/>
          <w:b/>
          <w:bCs/>
          <w:sz w:val="24"/>
          <w:szCs w:val="24"/>
        </w:rPr>
      </w:pPr>
    </w:p>
    <w:p w:rsidR="00D942A4" w:rsidRPr="00B17787" w:rsidRDefault="00A27FC2" w:rsidP="00DF3DE3">
      <w:pPr>
        <w:autoSpaceDE w:val="0"/>
        <w:autoSpaceDN w:val="0"/>
        <w:adjustRightInd w:val="0"/>
        <w:spacing w:after="0" w:line="240" w:lineRule="auto"/>
        <w:rPr>
          <w:rFonts w:ascii="Arial" w:hAnsi="Arial" w:cs="Arial"/>
          <w:sz w:val="24"/>
          <w:szCs w:val="24"/>
        </w:rPr>
      </w:pPr>
      <w:r w:rsidRPr="00B17787">
        <w:rPr>
          <w:rFonts w:ascii="Arial" w:hAnsi="Arial" w:cs="Arial"/>
          <w:sz w:val="24"/>
          <w:szCs w:val="24"/>
        </w:rPr>
        <w:t>Below is a summary of the remaining performance measure areas and the current or anticipated implementation status.</w:t>
      </w:r>
    </w:p>
    <w:p w:rsidR="00D942A4" w:rsidRDefault="00D942A4" w:rsidP="00DF3DE3">
      <w:pPr>
        <w:spacing w:line="240" w:lineRule="auto"/>
        <w:rPr>
          <w:rFonts w:ascii="Arial" w:hAnsi="Arial" w:cs="Arial"/>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88"/>
        <w:gridCol w:w="5040"/>
        <w:gridCol w:w="2448"/>
      </w:tblGrid>
      <w:tr w:rsidR="001E4EC8" w:rsidTr="008A6B99">
        <w:tc>
          <w:tcPr>
            <w:tcW w:w="2088" w:type="dxa"/>
            <w:shd w:val="clear" w:color="auto" w:fill="95B3D7" w:themeFill="accent1" w:themeFillTint="99"/>
          </w:tcPr>
          <w:p w:rsidR="001E4EC8" w:rsidRDefault="001E4EC8" w:rsidP="00DF3DE3">
            <w:pPr>
              <w:rPr>
                <w:rFonts w:ascii="Arial" w:hAnsi="Arial" w:cs="Arial"/>
                <w:sz w:val="24"/>
                <w:szCs w:val="24"/>
              </w:rPr>
            </w:pPr>
            <w:r>
              <w:rPr>
                <w:rFonts w:ascii="Arial" w:hAnsi="Arial" w:cs="Arial"/>
                <w:sz w:val="24"/>
                <w:szCs w:val="24"/>
              </w:rPr>
              <w:t>Area</w:t>
            </w:r>
          </w:p>
        </w:tc>
        <w:tc>
          <w:tcPr>
            <w:tcW w:w="5040" w:type="dxa"/>
            <w:shd w:val="clear" w:color="auto" w:fill="95B3D7" w:themeFill="accent1" w:themeFillTint="99"/>
          </w:tcPr>
          <w:p w:rsidR="001E4EC8" w:rsidRDefault="001E4EC8" w:rsidP="00DF3DE3">
            <w:pPr>
              <w:rPr>
                <w:rFonts w:ascii="Arial" w:hAnsi="Arial" w:cs="Arial"/>
                <w:sz w:val="24"/>
                <w:szCs w:val="24"/>
              </w:rPr>
            </w:pPr>
            <w:r>
              <w:rPr>
                <w:rFonts w:ascii="Arial" w:hAnsi="Arial" w:cs="Arial"/>
                <w:sz w:val="24"/>
                <w:szCs w:val="24"/>
              </w:rPr>
              <w:t>Measures</w:t>
            </w:r>
          </w:p>
        </w:tc>
        <w:tc>
          <w:tcPr>
            <w:tcW w:w="2448" w:type="dxa"/>
            <w:shd w:val="clear" w:color="auto" w:fill="95B3D7" w:themeFill="accent1" w:themeFillTint="99"/>
          </w:tcPr>
          <w:p w:rsidR="001E4EC8" w:rsidRDefault="001E4EC8" w:rsidP="00DF3DE3">
            <w:pPr>
              <w:rPr>
                <w:rFonts w:ascii="Arial" w:hAnsi="Arial" w:cs="Arial"/>
                <w:sz w:val="24"/>
                <w:szCs w:val="24"/>
              </w:rPr>
            </w:pPr>
            <w:r>
              <w:rPr>
                <w:rFonts w:ascii="Arial" w:hAnsi="Arial" w:cs="Arial"/>
                <w:sz w:val="24"/>
                <w:szCs w:val="24"/>
              </w:rPr>
              <w:t>Target Setting Status</w:t>
            </w:r>
          </w:p>
        </w:tc>
      </w:tr>
      <w:tr w:rsidR="001E4EC8" w:rsidTr="008A6B99">
        <w:tc>
          <w:tcPr>
            <w:tcW w:w="2088" w:type="dxa"/>
          </w:tcPr>
          <w:p w:rsidR="001E4EC8" w:rsidRDefault="001E4EC8" w:rsidP="00DF3DE3">
            <w:pPr>
              <w:rPr>
                <w:rFonts w:ascii="Arial" w:hAnsi="Arial" w:cs="Arial"/>
                <w:sz w:val="24"/>
                <w:szCs w:val="24"/>
              </w:rPr>
            </w:pPr>
            <w:r>
              <w:rPr>
                <w:rFonts w:ascii="Arial" w:hAnsi="Arial" w:cs="Arial"/>
                <w:sz w:val="24"/>
                <w:szCs w:val="24"/>
              </w:rPr>
              <w:t xml:space="preserve">Safety Performance </w:t>
            </w:r>
          </w:p>
        </w:tc>
        <w:tc>
          <w:tcPr>
            <w:tcW w:w="5040" w:type="dxa"/>
          </w:tcPr>
          <w:p w:rsidR="001E4EC8" w:rsidRPr="00B17787" w:rsidRDefault="001E4EC8" w:rsidP="007F0546">
            <w:pPr>
              <w:pStyle w:val="ListParagraph"/>
              <w:numPr>
                <w:ilvl w:val="0"/>
                <w:numId w:val="15"/>
              </w:numPr>
              <w:rPr>
                <w:rFonts w:ascii="Arial" w:hAnsi="Arial" w:cs="Arial"/>
                <w:sz w:val="24"/>
                <w:szCs w:val="24"/>
              </w:rPr>
            </w:pPr>
            <w:r w:rsidRPr="00B17787">
              <w:rPr>
                <w:rFonts w:ascii="Arial" w:hAnsi="Arial" w:cs="Arial"/>
                <w:sz w:val="24"/>
                <w:szCs w:val="24"/>
              </w:rPr>
              <w:t>Number of fatalities</w:t>
            </w:r>
          </w:p>
          <w:p w:rsidR="001E4EC8" w:rsidRPr="00B17787" w:rsidRDefault="001E4EC8" w:rsidP="007F0546">
            <w:pPr>
              <w:pStyle w:val="ListParagraph"/>
              <w:numPr>
                <w:ilvl w:val="0"/>
                <w:numId w:val="15"/>
              </w:numPr>
              <w:rPr>
                <w:rFonts w:ascii="Arial" w:hAnsi="Arial" w:cs="Arial"/>
                <w:sz w:val="24"/>
                <w:szCs w:val="24"/>
              </w:rPr>
            </w:pPr>
            <w:r w:rsidRPr="00B17787">
              <w:rPr>
                <w:rFonts w:ascii="Arial" w:hAnsi="Arial" w:cs="Arial"/>
                <w:sz w:val="24"/>
                <w:szCs w:val="24"/>
              </w:rPr>
              <w:t>Rate of fatalities per 100 million VMT</w:t>
            </w:r>
          </w:p>
          <w:p w:rsidR="001E4EC8" w:rsidRPr="00B17787" w:rsidRDefault="001E4EC8" w:rsidP="007F0546">
            <w:pPr>
              <w:pStyle w:val="ListParagraph"/>
              <w:numPr>
                <w:ilvl w:val="0"/>
                <w:numId w:val="15"/>
              </w:numPr>
              <w:rPr>
                <w:rFonts w:ascii="Arial" w:hAnsi="Arial" w:cs="Arial"/>
                <w:sz w:val="24"/>
                <w:szCs w:val="24"/>
              </w:rPr>
            </w:pPr>
            <w:r w:rsidRPr="00B17787">
              <w:rPr>
                <w:rFonts w:ascii="Arial" w:hAnsi="Arial" w:cs="Arial"/>
                <w:sz w:val="24"/>
                <w:szCs w:val="24"/>
              </w:rPr>
              <w:t>Number of Serious Injuries</w:t>
            </w:r>
          </w:p>
          <w:p w:rsidR="001E4EC8" w:rsidRPr="00B17787" w:rsidRDefault="001E4EC8" w:rsidP="007F0546">
            <w:pPr>
              <w:pStyle w:val="ListParagraph"/>
              <w:numPr>
                <w:ilvl w:val="0"/>
                <w:numId w:val="15"/>
              </w:numPr>
              <w:rPr>
                <w:rFonts w:ascii="Arial" w:hAnsi="Arial" w:cs="Arial"/>
                <w:sz w:val="24"/>
                <w:szCs w:val="24"/>
              </w:rPr>
            </w:pPr>
            <w:r w:rsidRPr="00B17787">
              <w:rPr>
                <w:rFonts w:ascii="Arial" w:hAnsi="Arial" w:cs="Arial"/>
                <w:sz w:val="24"/>
                <w:szCs w:val="24"/>
              </w:rPr>
              <w:t>Rate of Serious Injuries per 100 million VMT</w:t>
            </w:r>
          </w:p>
          <w:p w:rsidR="001E4EC8" w:rsidRPr="00B17787" w:rsidRDefault="001E4EC8" w:rsidP="007F0546">
            <w:pPr>
              <w:pStyle w:val="ListParagraph"/>
              <w:numPr>
                <w:ilvl w:val="0"/>
                <w:numId w:val="15"/>
              </w:numPr>
              <w:rPr>
                <w:rFonts w:ascii="Arial" w:hAnsi="Arial" w:cs="Arial"/>
                <w:sz w:val="24"/>
                <w:szCs w:val="24"/>
              </w:rPr>
            </w:pPr>
            <w:r w:rsidRPr="00B17787">
              <w:rPr>
                <w:rFonts w:ascii="Arial" w:hAnsi="Arial" w:cs="Arial"/>
                <w:sz w:val="24"/>
                <w:szCs w:val="24"/>
              </w:rPr>
              <w:t>Number of Non-motorized Fatalities and Non-motorized Serious Injuries</w:t>
            </w:r>
          </w:p>
          <w:p w:rsidR="001E4EC8" w:rsidRDefault="001E4EC8" w:rsidP="00DF3DE3">
            <w:pPr>
              <w:rPr>
                <w:rFonts w:ascii="Arial" w:hAnsi="Arial" w:cs="Arial"/>
                <w:sz w:val="24"/>
                <w:szCs w:val="24"/>
              </w:rPr>
            </w:pPr>
          </w:p>
        </w:tc>
        <w:tc>
          <w:tcPr>
            <w:tcW w:w="2448" w:type="dxa"/>
          </w:tcPr>
          <w:p w:rsidR="001E4EC8" w:rsidRDefault="001E4EC8" w:rsidP="00DF3DE3">
            <w:pPr>
              <w:rPr>
                <w:rFonts w:ascii="Arial" w:hAnsi="Arial" w:cs="Arial"/>
                <w:sz w:val="24"/>
                <w:szCs w:val="24"/>
              </w:rPr>
            </w:pPr>
            <w:r>
              <w:rPr>
                <w:rFonts w:ascii="Arial" w:hAnsi="Arial" w:cs="Arial"/>
                <w:sz w:val="24"/>
                <w:szCs w:val="24"/>
              </w:rPr>
              <w:t>Approved support of statewide targets (January 2018)</w:t>
            </w:r>
          </w:p>
        </w:tc>
      </w:tr>
      <w:tr w:rsidR="001E4EC8" w:rsidTr="008A6B99">
        <w:tc>
          <w:tcPr>
            <w:tcW w:w="2088" w:type="dxa"/>
          </w:tcPr>
          <w:p w:rsidR="001E4EC8" w:rsidRDefault="001E4EC8" w:rsidP="00DF3DE3">
            <w:pPr>
              <w:rPr>
                <w:rFonts w:ascii="Arial" w:hAnsi="Arial" w:cs="Arial"/>
                <w:sz w:val="24"/>
                <w:szCs w:val="24"/>
              </w:rPr>
            </w:pPr>
            <w:r>
              <w:rPr>
                <w:rFonts w:ascii="Arial" w:hAnsi="Arial" w:cs="Arial"/>
                <w:sz w:val="24"/>
                <w:szCs w:val="24"/>
              </w:rPr>
              <w:t>Pavement and Bridge Asset Management</w:t>
            </w:r>
          </w:p>
        </w:tc>
        <w:tc>
          <w:tcPr>
            <w:tcW w:w="5040" w:type="dxa"/>
          </w:tcPr>
          <w:p w:rsidR="001E4EC8" w:rsidRPr="001E4EC8" w:rsidRDefault="001E4EC8" w:rsidP="007F0546">
            <w:pPr>
              <w:pStyle w:val="ListParagraph"/>
              <w:numPr>
                <w:ilvl w:val="0"/>
                <w:numId w:val="16"/>
              </w:numPr>
              <w:rPr>
                <w:rFonts w:ascii="Arial" w:hAnsi="Arial" w:cs="Arial"/>
                <w:sz w:val="24"/>
                <w:szCs w:val="24"/>
              </w:rPr>
            </w:pPr>
            <w:r w:rsidRPr="001E4EC8">
              <w:rPr>
                <w:rFonts w:ascii="Arial" w:hAnsi="Arial" w:cs="Arial"/>
                <w:sz w:val="24"/>
                <w:szCs w:val="24"/>
              </w:rPr>
              <w:t>Percent NHS bridges in good and poor condition</w:t>
            </w:r>
          </w:p>
          <w:p w:rsidR="001E4EC8" w:rsidRPr="001E4EC8" w:rsidRDefault="001E4EC8" w:rsidP="007F0546">
            <w:pPr>
              <w:pStyle w:val="ListParagraph"/>
              <w:numPr>
                <w:ilvl w:val="0"/>
                <w:numId w:val="16"/>
              </w:numPr>
              <w:rPr>
                <w:rFonts w:ascii="Arial" w:hAnsi="Arial" w:cs="Arial"/>
                <w:sz w:val="24"/>
                <w:szCs w:val="24"/>
              </w:rPr>
            </w:pPr>
            <w:r w:rsidRPr="001E4EC8">
              <w:rPr>
                <w:rFonts w:ascii="Arial" w:hAnsi="Arial" w:cs="Arial"/>
                <w:sz w:val="24"/>
                <w:szCs w:val="24"/>
              </w:rPr>
              <w:t>Percent Interstate pavement in good and poor condition</w:t>
            </w:r>
          </w:p>
          <w:p w:rsidR="001E4EC8" w:rsidRPr="001E4EC8" w:rsidRDefault="001E4EC8" w:rsidP="007F0546">
            <w:pPr>
              <w:pStyle w:val="ListParagraph"/>
              <w:numPr>
                <w:ilvl w:val="0"/>
                <w:numId w:val="16"/>
              </w:numPr>
              <w:rPr>
                <w:rFonts w:ascii="Arial" w:hAnsi="Arial" w:cs="Arial"/>
                <w:sz w:val="24"/>
                <w:szCs w:val="24"/>
              </w:rPr>
            </w:pPr>
            <w:r w:rsidRPr="001E4EC8">
              <w:rPr>
                <w:rFonts w:ascii="Arial" w:hAnsi="Arial" w:cs="Arial"/>
                <w:sz w:val="24"/>
                <w:szCs w:val="24"/>
              </w:rPr>
              <w:t xml:space="preserve">Percent Non-Interstate NHS pavement in good and poor condition </w:t>
            </w:r>
          </w:p>
        </w:tc>
        <w:tc>
          <w:tcPr>
            <w:tcW w:w="2448" w:type="dxa"/>
          </w:tcPr>
          <w:p w:rsidR="001E4EC8" w:rsidRDefault="001E4EC8" w:rsidP="00DF3DE3">
            <w:pPr>
              <w:rPr>
                <w:rFonts w:ascii="Arial" w:hAnsi="Arial" w:cs="Arial"/>
                <w:sz w:val="24"/>
                <w:szCs w:val="24"/>
              </w:rPr>
            </w:pPr>
            <w:r>
              <w:rPr>
                <w:rFonts w:ascii="Arial" w:hAnsi="Arial" w:cs="Arial"/>
                <w:sz w:val="24"/>
                <w:szCs w:val="24"/>
              </w:rPr>
              <w:t>Anticipated adoption in November 2018</w:t>
            </w:r>
          </w:p>
        </w:tc>
      </w:tr>
      <w:tr w:rsidR="001E4EC8" w:rsidTr="008A6B99">
        <w:tc>
          <w:tcPr>
            <w:tcW w:w="2088" w:type="dxa"/>
          </w:tcPr>
          <w:p w:rsidR="001E4EC8" w:rsidRDefault="009424AE" w:rsidP="00DF3DE3">
            <w:pPr>
              <w:rPr>
                <w:rFonts w:ascii="Arial" w:hAnsi="Arial" w:cs="Arial"/>
                <w:sz w:val="24"/>
                <w:szCs w:val="24"/>
              </w:rPr>
            </w:pPr>
            <w:r>
              <w:rPr>
                <w:rFonts w:ascii="Arial" w:hAnsi="Arial" w:cs="Arial"/>
                <w:sz w:val="24"/>
                <w:szCs w:val="24"/>
              </w:rPr>
              <w:t>System Performance and Freight</w:t>
            </w:r>
          </w:p>
        </w:tc>
        <w:tc>
          <w:tcPr>
            <w:tcW w:w="5040" w:type="dxa"/>
          </w:tcPr>
          <w:p w:rsidR="001E4EC8" w:rsidRPr="009424AE" w:rsidRDefault="009424AE" w:rsidP="007F0546">
            <w:pPr>
              <w:pStyle w:val="ListParagraph"/>
              <w:numPr>
                <w:ilvl w:val="0"/>
                <w:numId w:val="17"/>
              </w:numPr>
              <w:rPr>
                <w:rFonts w:ascii="Arial" w:hAnsi="Arial" w:cs="Arial"/>
                <w:sz w:val="24"/>
                <w:szCs w:val="24"/>
              </w:rPr>
            </w:pPr>
            <w:r w:rsidRPr="009424AE">
              <w:rPr>
                <w:rFonts w:ascii="Arial" w:hAnsi="Arial" w:cs="Arial"/>
                <w:sz w:val="24"/>
                <w:szCs w:val="24"/>
              </w:rPr>
              <w:t>Interstate travel time reliability</w:t>
            </w:r>
          </w:p>
          <w:p w:rsidR="009424AE" w:rsidRPr="009424AE" w:rsidRDefault="009424AE" w:rsidP="007F0546">
            <w:pPr>
              <w:pStyle w:val="ListParagraph"/>
              <w:numPr>
                <w:ilvl w:val="0"/>
                <w:numId w:val="17"/>
              </w:numPr>
              <w:rPr>
                <w:rFonts w:ascii="Arial" w:hAnsi="Arial" w:cs="Arial"/>
                <w:sz w:val="24"/>
                <w:szCs w:val="24"/>
              </w:rPr>
            </w:pPr>
            <w:r w:rsidRPr="009424AE">
              <w:rPr>
                <w:rFonts w:ascii="Arial" w:hAnsi="Arial" w:cs="Arial"/>
                <w:sz w:val="24"/>
                <w:szCs w:val="24"/>
              </w:rPr>
              <w:t xml:space="preserve">Non-Interstate travel time reliability </w:t>
            </w:r>
          </w:p>
          <w:p w:rsidR="009424AE" w:rsidRPr="009424AE" w:rsidRDefault="009424AE" w:rsidP="007F0546">
            <w:pPr>
              <w:pStyle w:val="ListParagraph"/>
              <w:numPr>
                <w:ilvl w:val="0"/>
                <w:numId w:val="17"/>
              </w:numPr>
              <w:rPr>
                <w:rFonts w:ascii="Arial" w:hAnsi="Arial" w:cs="Arial"/>
                <w:sz w:val="24"/>
                <w:szCs w:val="24"/>
              </w:rPr>
            </w:pPr>
            <w:r w:rsidRPr="009424AE">
              <w:rPr>
                <w:rFonts w:ascii="Arial" w:hAnsi="Arial" w:cs="Arial"/>
                <w:sz w:val="24"/>
                <w:szCs w:val="24"/>
              </w:rPr>
              <w:t>Truck travel time reliability</w:t>
            </w:r>
          </w:p>
        </w:tc>
        <w:tc>
          <w:tcPr>
            <w:tcW w:w="2448" w:type="dxa"/>
          </w:tcPr>
          <w:p w:rsidR="001E4EC8" w:rsidRDefault="009424AE" w:rsidP="00DF3DE3">
            <w:pPr>
              <w:rPr>
                <w:rFonts w:ascii="Arial" w:hAnsi="Arial" w:cs="Arial"/>
                <w:sz w:val="24"/>
                <w:szCs w:val="24"/>
              </w:rPr>
            </w:pPr>
            <w:r>
              <w:rPr>
                <w:rFonts w:ascii="Arial" w:hAnsi="Arial" w:cs="Arial"/>
                <w:sz w:val="24"/>
                <w:szCs w:val="24"/>
              </w:rPr>
              <w:t>Anticipated adoption in November 2018</w:t>
            </w:r>
          </w:p>
        </w:tc>
      </w:tr>
      <w:tr w:rsidR="009424AE" w:rsidTr="008A6B99">
        <w:tc>
          <w:tcPr>
            <w:tcW w:w="2088" w:type="dxa"/>
          </w:tcPr>
          <w:p w:rsidR="009424AE" w:rsidRDefault="005F1300" w:rsidP="00DF3DE3">
            <w:pPr>
              <w:rPr>
                <w:rFonts w:ascii="Arial" w:hAnsi="Arial" w:cs="Arial"/>
                <w:sz w:val="24"/>
                <w:szCs w:val="24"/>
              </w:rPr>
            </w:pPr>
            <w:r>
              <w:rPr>
                <w:rFonts w:ascii="Arial" w:hAnsi="Arial" w:cs="Arial"/>
                <w:sz w:val="24"/>
                <w:szCs w:val="24"/>
              </w:rPr>
              <w:t>Public Transportation</w:t>
            </w:r>
          </w:p>
        </w:tc>
        <w:tc>
          <w:tcPr>
            <w:tcW w:w="5040" w:type="dxa"/>
          </w:tcPr>
          <w:p w:rsidR="009424AE" w:rsidRPr="005F1300" w:rsidRDefault="005F1300" w:rsidP="007F0546">
            <w:pPr>
              <w:pStyle w:val="ListParagraph"/>
              <w:numPr>
                <w:ilvl w:val="0"/>
                <w:numId w:val="17"/>
              </w:numPr>
              <w:rPr>
                <w:rFonts w:ascii="Arial" w:hAnsi="Arial" w:cs="Arial"/>
                <w:sz w:val="24"/>
                <w:szCs w:val="24"/>
              </w:rPr>
            </w:pPr>
            <w:r w:rsidRPr="005F1300">
              <w:rPr>
                <w:rFonts w:ascii="Arial" w:hAnsi="Arial" w:cs="Arial"/>
                <w:sz w:val="24"/>
                <w:szCs w:val="24"/>
              </w:rPr>
              <w:t xml:space="preserve">Transit Asset Management (TAM) Plans (rolling stock, equipment facilities, infrastructure); </w:t>
            </w:r>
          </w:p>
          <w:p w:rsidR="005F1300" w:rsidRPr="005F1300" w:rsidRDefault="005F1300" w:rsidP="007F0546">
            <w:pPr>
              <w:pStyle w:val="ListParagraph"/>
              <w:numPr>
                <w:ilvl w:val="0"/>
                <w:numId w:val="17"/>
              </w:numPr>
              <w:rPr>
                <w:rFonts w:ascii="Arial" w:hAnsi="Arial" w:cs="Arial"/>
                <w:sz w:val="24"/>
                <w:szCs w:val="24"/>
              </w:rPr>
            </w:pPr>
            <w:r w:rsidRPr="005F1300">
              <w:rPr>
                <w:rFonts w:ascii="Arial" w:hAnsi="Arial" w:cs="Arial"/>
                <w:sz w:val="24"/>
                <w:szCs w:val="24"/>
              </w:rPr>
              <w:t xml:space="preserve">Public Transportation Agency Safety Plan (Fatalities, Injuries, Safety events, System reliability) </w:t>
            </w:r>
          </w:p>
        </w:tc>
        <w:tc>
          <w:tcPr>
            <w:tcW w:w="2448" w:type="dxa"/>
          </w:tcPr>
          <w:p w:rsidR="009424AE" w:rsidRDefault="005F1300" w:rsidP="00DF3DE3">
            <w:pPr>
              <w:rPr>
                <w:rFonts w:ascii="Arial" w:hAnsi="Arial" w:cs="Arial"/>
                <w:sz w:val="24"/>
                <w:szCs w:val="24"/>
              </w:rPr>
            </w:pPr>
            <w:r>
              <w:rPr>
                <w:rFonts w:ascii="Arial" w:hAnsi="Arial" w:cs="Arial"/>
                <w:sz w:val="24"/>
                <w:szCs w:val="24"/>
              </w:rPr>
              <w:t>State of Good Repair Targets reported for 2017;</w:t>
            </w:r>
          </w:p>
          <w:p w:rsidR="005F1300" w:rsidRDefault="005F1300" w:rsidP="00DF3DE3">
            <w:pPr>
              <w:rPr>
                <w:rFonts w:ascii="Arial" w:hAnsi="Arial" w:cs="Arial"/>
                <w:sz w:val="24"/>
                <w:szCs w:val="24"/>
              </w:rPr>
            </w:pPr>
            <w:r>
              <w:rPr>
                <w:rFonts w:ascii="Arial" w:hAnsi="Arial" w:cs="Arial"/>
                <w:sz w:val="24"/>
                <w:szCs w:val="24"/>
              </w:rPr>
              <w:t>TAM plans due October 2018;</w:t>
            </w:r>
          </w:p>
          <w:p w:rsidR="005F1300" w:rsidRDefault="005F1300" w:rsidP="00DF3DE3">
            <w:pPr>
              <w:rPr>
                <w:rFonts w:ascii="Arial" w:hAnsi="Arial" w:cs="Arial"/>
                <w:sz w:val="24"/>
                <w:szCs w:val="24"/>
              </w:rPr>
            </w:pPr>
            <w:r>
              <w:rPr>
                <w:rFonts w:ascii="Arial" w:hAnsi="Arial" w:cs="Arial"/>
                <w:sz w:val="24"/>
                <w:szCs w:val="24"/>
              </w:rPr>
              <w:t>Safety Plans: No regulation adopted to enact this rule</w:t>
            </w:r>
          </w:p>
        </w:tc>
      </w:tr>
    </w:tbl>
    <w:p w:rsidR="001E4EC8" w:rsidRPr="00B17787" w:rsidRDefault="001E4EC8" w:rsidP="00DF3DE3">
      <w:pPr>
        <w:spacing w:line="240" w:lineRule="auto"/>
        <w:rPr>
          <w:rFonts w:ascii="Arial" w:hAnsi="Arial" w:cs="Arial"/>
          <w:sz w:val="24"/>
          <w:szCs w:val="24"/>
        </w:rPr>
      </w:pPr>
    </w:p>
    <w:p w:rsidR="00A27FC2" w:rsidRPr="00B17787" w:rsidRDefault="00A27FC2" w:rsidP="00DF3DE3">
      <w:pPr>
        <w:autoSpaceDE w:val="0"/>
        <w:autoSpaceDN w:val="0"/>
        <w:adjustRightInd w:val="0"/>
        <w:spacing w:after="0" w:line="240" w:lineRule="auto"/>
        <w:rPr>
          <w:rFonts w:ascii="Arial" w:hAnsi="Arial" w:cs="Arial"/>
          <w:b/>
          <w:bCs/>
          <w:sz w:val="24"/>
          <w:szCs w:val="24"/>
        </w:rPr>
      </w:pPr>
      <w:r w:rsidRPr="00B17787">
        <w:rPr>
          <w:rFonts w:ascii="Arial" w:hAnsi="Arial" w:cs="Arial"/>
          <w:b/>
          <w:bCs/>
          <w:sz w:val="24"/>
          <w:szCs w:val="24"/>
        </w:rPr>
        <w:lastRenderedPageBreak/>
        <w:t xml:space="preserve">2040 </w:t>
      </w:r>
      <w:r w:rsidR="007F0546">
        <w:rPr>
          <w:rFonts w:ascii="Arial" w:hAnsi="Arial" w:cs="Arial"/>
          <w:b/>
          <w:bCs/>
          <w:sz w:val="24"/>
          <w:szCs w:val="24"/>
        </w:rPr>
        <w:t>MTP</w:t>
      </w:r>
      <w:r w:rsidRPr="00B17787">
        <w:rPr>
          <w:rFonts w:ascii="Arial" w:hAnsi="Arial" w:cs="Arial"/>
          <w:b/>
          <w:bCs/>
          <w:sz w:val="24"/>
          <w:szCs w:val="24"/>
        </w:rPr>
        <w:t xml:space="preserve"> Transportation Performance Tracking</w:t>
      </w:r>
      <w:r w:rsidR="00B17787" w:rsidRPr="00B17787">
        <w:rPr>
          <w:rFonts w:ascii="Arial" w:hAnsi="Arial" w:cs="Arial"/>
          <w:b/>
          <w:bCs/>
          <w:sz w:val="24"/>
          <w:szCs w:val="24"/>
        </w:rPr>
        <w:t xml:space="preserve"> </w:t>
      </w:r>
      <w:r w:rsidR="007F0546">
        <w:rPr>
          <w:rFonts w:ascii="Arial" w:hAnsi="Arial" w:cs="Arial"/>
          <w:b/>
          <w:bCs/>
          <w:sz w:val="24"/>
          <w:szCs w:val="24"/>
        </w:rPr>
        <w:t>and</w:t>
      </w:r>
      <w:r w:rsidR="00B17787" w:rsidRPr="00B17787">
        <w:rPr>
          <w:rFonts w:ascii="Arial" w:hAnsi="Arial" w:cs="Arial"/>
          <w:b/>
          <w:bCs/>
          <w:sz w:val="24"/>
          <w:szCs w:val="24"/>
        </w:rPr>
        <w:t xml:space="preserve"> Investment Strategy</w:t>
      </w:r>
    </w:p>
    <w:p w:rsidR="00DA0C22" w:rsidRPr="00B17787" w:rsidRDefault="00DA0C22" w:rsidP="00DF3DE3">
      <w:pPr>
        <w:autoSpaceDE w:val="0"/>
        <w:autoSpaceDN w:val="0"/>
        <w:adjustRightInd w:val="0"/>
        <w:spacing w:after="0" w:line="240" w:lineRule="auto"/>
        <w:rPr>
          <w:rFonts w:ascii="Arial" w:hAnsi="Arial" w:cs="Arial"/>
          <w:b/>
          <w:bCs/>
          <w:sz w:val="24"/>
          <w:szCs w:val="24"/>
        </w:rPr>
      </w:pPr>
    </w:p>
    <w:p w:rsidR="00B17787" w:rsidRPr="00B17787" w:rsidRDefault="00B17787" w:rsidP="00DF3DE3">
      <w:pPr>
        <w:autoSpaceDE w:val="0"/>
        <w:autoSpaceDN w:val="0"/>
        <w:adjustRightInd w:val="0"/>
        <w:spacing w:after="0" w:line="240" w:lineRule="auto"/>
        <w:rPr>
          <w:rFonts w:ascii="Arial" w:hAnsi="Arial" w:cs="Arial"/>
          <w:b/>
          <w:bCs/>
          <w:sz w:val="24"/>
          <w:szCs w:val="24"/>
        </w:rPr>
      </w:pPr>
      <w:r w:rsidRPr="00B17787">
        <w:rPr>
          <w:rFonts w:ascii="Arial" w:hAnsi="Arial" w:cs="Arial"/>
          <w:b/>
          <w:sz w:val="24"/>
          <w:szCs w:val="24"/>
        </w:rPr>
        <w:t>Determination of Highest Priority</w:t>
      </w:r>
    </w:p>
    <w:p w:rsidR="00B17787" w:rsidRPr="00B17787" w:rsidRDefault="00477F98" w:rsidP="00DF3DE3">
      <w:pPr>
        <w:autoSpaceDE w:val="0"/>
        <w:autoSpaceDN w:val="0"/>
        <w:adjustRightInd w:val="0"/>
        <w:spacing w:after="0" w:line="240" w:lineRule="auto"/>
        <w:rPr>
          <w:rFonts w:ascii="Arial" w:hAnsi="Arial" w:cs="Arial"/>
          <w:sz w:val="24"/>
          <w:szCs w:val="24"/>
        </w:rPr>
      </w:pPr>
      <w:r w:rsidRPr="00B17787">
        <w:rPr>
          <w:rFonts w:ascii="Arial" w:hAnsi="Arial" w:cs="Arial"/>
          <w:sz w:val="24"/>
          <w:szCs w:val="24"/>
        </w:rPr>
        <w:t>The highest priority system needs are determined using various approaches during the MTP development. Taking into account all of the data that is available and public perception of need, the various committees developed a list of needs for the transportation system as a whole. When all of the needs were identified, the GVMC Technical and Policy Committees, with input from the MTP Steering Team, formed to guide the development of the MTP, developed a list of identified transportation investment priorities. Transportation investment priorities identify areas where future available transportation funds should be allocated. This allocation of funds determines future specific priorities that are included within the MTP Project List. After a thorough review of all available funding, it was determined that approximately $505 million is available over the life of th</w:t>
      </w:r>
      <w:r w:rsidR="007F0546">
        <w:rPr>
          <w:rFonts w:ascii="Arial" w:hAnsi="Arial" w:cs="Arial"/>
          <w:sz w:val="24"/>
          <w:szCs w:val="24"/>
        </w:rPr>
        <w:t>e 2040</w:t>
      </w:r>
      <w:r w:rsidRPr="00B17787">
        <w:rPr>
          <w:rFonts w:ascii="Arial" w:hAnsi="Arial" w:cs="Arial"/>
          <w:sz w:val="24"/>
          <w:szCs w:val="24"/>
        </w:rPr>
        <w:t xml:space="preserve"> MTP for discretionary projects. In other words, the MPO may use these funds for projects deemed to be of the highest priority for the region as a whole. GVMC has determined that the highest priority for all available flexible funding is for projects that contribute to the improvement of the regions’ system pavement condition. Data in recent years has shown that pavement conditions in the region are falling and as time passes without funding to address these deficiencies, the system will only continue to deteriorate and the solutions will become increasingly more costly. </w:t>
      </w:r>
    </w:p>
    <w:p w:rsidR="00B17787" w:rsidRPr="00B17787" w:rsidRDefault="00B17787" w:rsidP="00DF3DE3">
      <w:pPr>
        <w:autoSpaceDE w:val="0"/>
        <w:autoSpaceDN w:val="0"/>
        <w:adjustRightInd w:val="0"/>
        <w:spacing w:after="0" w:line="240" w:lineRule="auto"/>
        <w:rPr>
          <w:rFonts w:ascii="Arial" w:hAnsi="Arial" w:cs="Arial"/>
          <w:sz w:val="24"/>
          <w:szCs w:val="24"/>
        </w:rPr>
      </w:pPr>
    </w:p>
    <w:p w:rsidR="00B17787" w:rsidRPr="00B17787" w:rsidRDefault="00477F98" w:rsidP="00DF3DE3">
      <w:pPr>
        <w:autoSpaceDE w:val="0"/>
        <w:autoSpaceDN w:val="0"/>
        <w:adjustRightInd w:val="0"/>
        <w:spacing w:after="0" w:line="240" w:lineRule="auto"/>
        <w:rPr>
          <w:rFonts w:ascii="Arial" w:hAnsi="Arial" w:cs="Arial"/>
          <w:sz w:val="24"/>
          <w:szCs w:val="24"/>
        </w:rPr>
      </w:pPr>
      <w:r w:rsidRPr="00B17787">
        <w:rPr>
          <w:rFonts w:ascii="Arial" w:hAnsi="Arial" w:cs="Arial"/>
          <w:sz w:val="24"/>
          <w:szCs w:val="24"/>
        </w:rPr>
        <w:t>The MTP Project List was developed to address the deficiencies identified in the plan and reflect this priority</w:t>
      </w:r>
      <w:r w:rsidR="00CF746A">
        <w:rPr>
          <w:rFonts w:ascii="Arial" w:hAnsi="Arial" w:cs="Arial"/>
          <w:sz w:val="24"/>
          <w:szCs w:val="24"/>
        </w:rPr>
        <w:t>,</w:t>
      </w:r>
      <w:r w:rsidRPr="00B17787">
        <w:rPr>
          <w:rFonts w:ascii="Arial" w:hAnsi="Arial" w:cs="Arial"/>
          <w:sz w:val="24"/>
          <w:szCs w:val="24"/>
        </w:rPr>
        <w:t xml:space="preserve"> but is limited by estimated future available revenues. The first four years (2014–2017) of the MTP Project List are equivalent to the Transportation Improvement Program (TIP) project list and demonstrate the short-term transportation projects identified for funding in this region. Other individual projects listed in the MTP Project list reflect projected transportation capacity deficiencies with preferred alternatives identified. Identified Need and Illustrative Vision </w:t>
      </w:r>
    </w:p>
    <w:p w:rsidR="00B17787" w:rsidRPr="00B17787" w:rsidRDefault="00B17787" w:rsidP="00DF3DE3">
      <w:pPr>
        <w:autoSpaceDE w:val="0"/>
        <w:autoSpaceDN w:val="0"/>
        <w:adjustRightInd w:val="0"/>
        <w:spacing w:after="0" w:line="240" w:lineRule="auto"/>
        <w:rPr>
          <w:rFonts w:ascii="Arial" w:hAnsi="Arial" w:cs="Arial"/>
          <w:sz w:val="24"/>
          <w:szCs w:val="24"/>
        </w:rPr>
      </w:pPr>
    </w:p>
    <w:p w:rsidR="00B17787" w:rsidRPr="00B17787" w:rsidRDefault="00B17787" w:rsidP="00DF3DE3">
      <w:pPr>
        <w:autoSpaceDE w:val="0"/>
        <w:autoSpaceDN w:val="0"/>
        <w:adjustRightInd w:val="0"/>
        <w:spacing w:after="0" w:line="240" w:lineRule="auto"/>
        <w:rPr>
          <w:rFonts w:ascii="Arial" w:hAnsi="Arial" w:cs="Arial"/>
          <w:b/>
          <w:sz w:val="24"/>
          <w:szCs w:val="24"/>
        </w:rPr>
      </w:pPr>
      <w:r w:rsidRPr="00B17787">
        <w:rPr>
          <w:rFonts w:ascii="Arial" w:hAnsi="Arial" w:cs="Arial"/>
          <w:b/>
          <w:sz w:val="24"/>
          <w:szCs w:val="24"/>
        </w:rPr>
        <w:t>Identified Need and Illustrative Vision</w:t>
      </w:r>
    </w:p>
    <w:p w:rsidR="00DA0C22" w:rsidRPr="00B17787" w:rsidRDefault="00477F98" w:rsidP="00DF3DE3">
      <w:pPr>
        <w:autoSpaceDE w:val="0"/>
        <w:autoSpaceDN w:val="0"/>
        <w:adjustRightInd w:val="0"/>
        <w:spacing w:after="0" w:line="240" w:lineRule="auto"/>
        <w:rPr>
          <w:rFonts w:ascii="Arial" w:hAnsi="Arial" w:cs="Arial"/>
          <w:sz w:val="24"/>
          <w:szCs w:val="24"/>
        </w:rPr>
      </w:pPr>
      <w:r w:rsidRPr="00B17787">
        <w:rPr>
          <w:rFonts w:ascii="Arial" w:hAnsi="Arial" w:cs="Arial"/>
          <w:sz w:val="24"/>
          <w:szCs w:val="24"/>
        </w:rPr>
        <w:t>Throughout the development of this MTP</w:t>
      </w:r>
      <w:r w:rsidR="00B17787" w:rsidRPr="00B17787">
        <w:rPr>
          <w:rFonts w:ascii="Arial" w:hAnsi="Arial" w:cs="Arial"/>
          <w:sz w:val="24"/>
          <w:szCs w:val="24"/>
        </w:rPr>
        <w:t>,</w:t>
      </w:r>
      <w:r w:rsidRPr="00B17787">
        <w:rPr>
          <w:rFonts w:ascii="Arial" w:hAnsi="Arial" w:cs="Arial"/>
          <w:sz w:val="24"/>
          <w:szCs w:val="24"/>
        </w:rPr>
        <w:t xml:space="preserve"> efforts were made to establish a basic vision of what we collectively would like our transportation system to be in the year 2040. Issues related to the condition of the pavement, to the reliability of travel times, to the convenience of the local transit system, to the availability of alternate means of transportation, and the efficiency of moving freight throughout the system were all analyzed. The results of this analysis concluded that in order to greatly improve pavement condition from 64% good/fair up to 80% an additional $665 million in dedicated funding would be necessary through the year 2040. To reduce the percent of congested non-trunkline roadways by 80% an additional $30 million would be needed. To realize a completed non-motorized network, an additional $25 million would be required. To fully implement the ITP Master Plan an additional $206 million would be needed. To fully implement the needs identified in the GVMC Safety Plan an additional $37 million is necessary. All tolled the illustrative list for local federal aid in the region totals $963 million over and above the needs listed for area trunklines. GVMC and its member communities are dedicated to focusing future planning efforts in an effort to </w:t>
      </w:r>
      <w:r w:rsidRPr="00B17787">
        <w:rPr>
          <w:rFonts w:ascii="Arial" w:hAnsi="Arial" w:cs="Arial"/>
          <w:sz w:val="24"/>
          <w:szCs w:val="24"/>
        </w:rPr>
        <w:lastRenderedPageBreak/>
        <w:t>develop a strong vision of the future conditions of the transportation system in the region. The chart below depicts these needs.</w:t>
      </w:r>
    </w:p>
    <w:p w:rsidR="00B17787" w:rsidRPr="00B17787" w:rsidRDefault="00B17787" w:rsidP="00DF3DE3">
      <w:pPr>
        <w:autoSpaceDE w:val="0"/>
        <w:autoSpaceDN w:val="0"/>
        <w:adjustRightInd w:val="0"/>
        <w:spacing w:after="0" w:line="240" w:lineRule="auto"/>
        <w:rPr>
          <w:rFonts w:ascii="Arial" w:hAnsi="Arial" w:cs="Arial"/>
          <w:b/>
          <w:bCs/>
          <w:sz w:val="24"/>
          <w:szCs w:val="24"/>
        </w:rPr>
      </w:pPr>
    </w:p>
    <w:p w:rsidR="00DA0C22" w:rsidRPr="00B17787" w:rsidRDefault="00477F98" w:rsidP="00DF3DE3">
      <w:pPr>
        <w:autoSpaceDE w:val="0"/>
        <w:autoSpaceDN w:val="0"/>
        <w:adjustRightInd w:val="0"/>
        <w:spacing w:after="0" w:line="240" w:lineRule="auto"/>
        <w:rPr>
          <w:rFonts w:ascii="Arial" w:hAnsi="Arial" w:cs="Arial"/>
          <w:b/>
          <w:bCs/>
          <w:sz w:val="24"/>
          <w:szCs w:val="24"/>
        </w:rPr>
      </w:pPr>
      <w:r w:rsidRPr="00B17787">
        <w:rPr>
          <w:rFonts w:ascii="Arial" w:hAnsi="Arial" w:cs="Arial"/>
          <w:b/>
          <w:bCs/>
          <w:noProof/>
          <w:sz w:val="24"/>
          <w:szCs w:val="24"/>
          <w:lang w:eastAsia="zh-CN"/>
        </w:rPr>
        <w:drawing>
          <wp:inline distT="0" distB="0" distL="0" distR="0" wp14:anchorId="2D4DC53F" wp14:editId="1B94DF53">
            <wp:extent cx="5589905" cy="13595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9905" cy="1359535"/>
                    </a:xfrm>
                    <a:prstGeom prst="rect">
                      <a:avLst/>
                    </a:prstGeom>
                    <a:noFill/>
                    <a:ln>
                      <a:noFill/>
                    </a:ln>
                  </pic:spPr>
                </pic:pic>
              </a:graphicData>
            </a:graphic>
          </wp:inline>
        </w:drawing>
      </w:r>
    </w:p>
    <w:p w:rsidR="00DA0C22" w:rsidRPr="00B17787" w:rsidRDefault="00DA0C22" w:rsidP="00DF3DE3">
      <w:pPr>
        <w:autoSpaceDE w:val="0"/>
        <w:autoSpaceDN w:val="0"/>
        <w:adjustRightInd w:val="0"/>
        <w:spacing w:after="0" w:line="240" w:lineRule="auto"/>
        <w:rPr>
          <w:rFonts w:ascii="Arial" w:hAnsi="Arial" w:cs="Arial"/>
          <w:b/>
          <w:bCs/>
          <w:sz w:val="24"/>
          <w:szCs w:val="24"/>
        </w:rPr>
      </w:pPr>
    </w:p>
    <w:p w:rsidR="00DA0C22" w:rsidRPr="00B17787" w:rsidRDefault="00DA0C22" w:rsidP="00DF3DE3">
      <w:pPr>
        <w:autoSpaceDE w:val="0"/>
        <w:autoSpaceDN w:val="0"/>
        <w:adjustRightInd w:val="0"/>
        <w:spacing w:after="0" w:line="240" w:lineRule="auto"/>
        <w:rPr>
          <w:rFonts w:ascii="Arial" w:hAnsi="Arial" w:cs="Arial"/>
          <w:b/>
          <w:bCs/>
          <w:sz w:val="24"/>
          <w:szCs w:val="24"/>
        </w:rPr>
      </w:pPr>
    </w:p>
    <w:p w:rsidR="00DA0C22" w:rsidRPr="00B17787" w:rsidRDefault="00DA0C22" w:rsidP="00DF3DE3">
      <w:pPr>
        <w:autoSpaceDE w:val="0"/>
        <w:autoSpaceDN w:val="0"/>
        <w:adjustRightInd w:val="0"/>
        <w:spacing w:after="0" w:line="240" w:lineRule="auto"/>
        <w:rPr>
          <w:rFonts w:ascii="Arial" w:hAnsi="Arial" w:cs="Arial"/>
          <w:b/>
          <w:bCs/>
          <w:sz w:val="24"/>
          <w:szCs w:val="24"/>
        </w:rPr>
      </w:pPr>
    </w:p>
    <w:p w:rsidR="00964863" w:rsidRDefault="00964863" w:rsidP="00DF3DE3">
      <w:pPr>
        <w:autoSpaceDE w:val="0"/>
        <w:autoSpaceDN w:val="0"/>
        <w:adjustRightInd w:val="0"/>
        <w:spacing w:after="0" w:line="240" w:lineRule="auto"/>
        <w:rPr>
          <w:rFonts w:ascii="Arial" w:hAnsi="Arial" w:cs="Arial"/>
          <w:b/>
          <w:bCs/>
          <w:sz w:val="24"/>
          <w:szCs w:val="24"/>
        </w:rPr>
      </w:pPr>
    </w:p>
    <w:p w:rsidR="00964863" w:rsidRDefault="00964863" w:rsidP="00DF3DE3">
      <w:pPr>
        <w:autoSpaceDE w:val="0"/>
        <w:autoSpaceDN w:val="0"/>
        <w:adjustRightInd w:val="0"/>
        <w:spacing w:after="0" w:line="240" w:lineRule="auto"/>
        <w:rPr>
          <w:rFonts w:ascii="Arial" w:hAnsi="Arial" w:cs="Arial"/>
          <w:b/>
          <w:bCs/>
          <w:sz w:val="24"/>
          <w:szCs w:val="24"/>
        </w:rPr>
      </w:pPr>
    </w:p>
    <w:p w:rsidR="00964863" w:rsidRDefault="00964863" w:rsidP="00DF3DE3">
      <w:pPr>
        <w:autoSpaceDE w:val="0"/>
        <w:autoSpaceDN w:val="0"/>
        <w:adjustRightInd w:val="0"/>
        <w:spacing w:after="0" w:line="240" w:lineRule="auto"/>
        <w:rPr>
          <w:rFonts w:ascii="Arial" w:hAnsi="Arial" w:cs="Arial"/>
          <w:b/>
          <w:bCs/>
          <w:sz w:val="24"/>
          <w:szCs w:val="24"/>
        </w:rPr>
      </w:pPr>
    </w:p>
    <w:p w:rsidR="00964863" w:rsidRDefault="00964863" w:rsidP="00DF3DE3">
      <w:pPr>
        <w:autoSpaceDE w:val="0"/>
        <w:autoSpaceDN w:val="0"/>
        <w:adjustRightInd w:val="0"/>
        <w:spacing w:after="0" w:line="240" w:lineRule="auto"/>
        <w:rPr>
          <w:rFonts w:ascii="Arial" w:hAnsi="Arial" w:cs="Arial"/>
          <w:b/>
          <w:bCs/>
          <w:sz w:val="24"/>
          <w:szCs w:val="24"/>
        </w:rPr>
      </w:pPr>
    </w:p>
    <w:p w:rsidR="00964863" w:rsidRDefault="00964863" w:rsidP="00DF3DE3">
      <w:pPr>
        <w:autoSpaceDE w:val="0"/>
        <w:autoSpaceDN w:val="0"/>
        <w:adjustRightInd w:val="0"/>
        <w:spacing w:after="0" w:line="240" w:lineRule="auto"/>
        <w:rPr>
          <w:rFonts w:ascii="Arial" w:hAnsi="Arial" w:cs="Arial"/>
          <w:b/>
          <w:bCs/>
          <w:sz w:val="24"/>
          <w:szCs w:val="24"/>
        </w:rPr>
      </w:pPr>
    </w:p>
    <w:p w:rsidR="00964863" w:rsidRDefault="00964863" w:rsidP="00DF3DE3">
      <w:pPr>
        <w:autoSpaceDE w:val="0"/>
        <w:autoSpaceDN w:val="0"/>
        <w:adjustRightInd w:val="0"/>
        <w:spacing w:after="0" w:line="240" w:lineRule="auto"/>
        <w:rPr>
          <w:rFonts w:ascii="Arial" w:hAnsi="Arial" w:cs="Arial"/>
          <w:b/>
          <w:bCs/>
          <w:sz w:val="24"/>
          <w:szCs w:val="24"/>
        </w:rPr>
      </w:pPr>
    </w:p>
    <w:p w:rsidR="00964863" w:rsidRDefault="00964863" w:rsidP="00DF3DE3">
      <w:pPr>
        <w:autoSpaceDE w:val="0"/>
        <w:autoSpaceDN w:val="0"/>
        <w:adjustRightInd w:val="0"/>
        <w:spacing w:after="0" w:line="240" w:lineRule="auto"/>
        <w:rPr>
          <w:rFonts w:ascii="Arial" w:hAnsi="Arial" w:cs="Arial"/>
          <w:b/>
          <w:bCs/>
          <w:sz w:val="24"/>
          <w:szCs w:val="24"/>
        </w:rPr>
      </w:pPr>
    </w:p>
    <w:p w:rsidR="00964863" w:rsidRDefault="00964863" w:rsidP="00DF3DE3">
      <w:pPr>
        <w:autoSpaceDE w:val="0"/>
        <w:autoSpaceDN w:val="0"/>
        <w:adjustRightInd w:val="0"/>
        <w:spacing w:after="0" w:line="240" w:lineRule="auto"/>
        <w:rPr>
          <w:rFonts w:ascii="Arial" w:hAnsi="Arial" w:cs="Arial"/>
          <w:b/>
          <w:bCs/>
          <w:sz w:val="24"/>
          <w:szCs w:val="24"/>
        </w:rPr>
      </w:pPr>
    </w:p>
    <w:p w:rsidR="00964863" w:rsidRDefault="00964863" w:rsidP="00DF3DE3">
      <w:pPr>
        <w:autoSpaceDE w:val="0"/>
        <w:autoSpaceDN w:val="0"/>
        <w:adjustRightInd w:val="0"/>
        <w:spacing w:after="0" w:line="240" w:lineRule="auto"/>
        <w:rPr>
          <w:rFonts w:ascii="Arial" w:hAnsi="Arial" w:cs="Arial"/>
          <w:b/>
          <w:bCs/>
          <w:sz w:val="24"/>
          <w:szCs w:val="24"/>
        </w:rPr>
      </w:pPr>
    </w:p>
    <w:p w:rsidR="00964863" w:rsidRDefault="00964863" w:rsidP="00DF3DE3">
      <w:pPr>
        <w:autoSpaceDE w:val="0"/>
        <w:autoSpaceDN w:val="0"/>
        <w:adjustRightInd w:val="0"/>
        <w:spacing w:after="0" w:line="240" w:lineRule="auto"/>
        <w:rPr>
          <w:rFonts w:ascii="Arial" w:hAnsi="Arial" w:cs="Arial"/>
          <w:b/>
          <w:bCs/>
          <w:sz w:val="24"/>
          <w:szCs w:val="24"/>
        </w:rPr>
      </w:pPr>
    </w:p>
    <w:p w:rsidR="00964863" w:rsidRDefault="00964863" w:rsidP="00DF3DE3">
      <w:pPr>
        <w:autoSpaceDE w:val="0"/>
        <w:autoSpaceDN w:val="0"/>
        <w:adjustRightInd w:val="0"/>
        <w:spacing w:after="0" w:line="240" w:lineRule="auto"/>
        <w:rPr>
          <w:rFonts w:ascii="Arial" w:hAnsi="Arial" w:cs="Arial"/>
          <w:b/>
          <w:bCs/>
          <w:sz w:val="24"/>
          <w:szCs w:val="24"/>
        </w:rPr>
      </w:pPr>
    </w:p>
    <w:p w:rsidR="00DA0C22" w:rsidRPr="00B17787" w:rsidRDefault="00DA0C22" w:rsidP="00DF3DE3">
      <w:pPr>
        <w:autoSpaceDE w:val="0"/>
        <w:autoSpaceDN w:val="0"/>
        <w:adjustRightInd w:val="0"/>
        <w:spacing w:after="0" w:line="240" w:lineRule="auto"/>
        <w:rPr>
          <w:rFonts w:ascii="Arial" w:hAnsi="Arial" w:cs="Arial"/>
          <w:b/>
          <w:bCs/>
          <w:sz w:val="24"/>
          <w:szCs w:val="24"/>
        </w:rPr>
      </w:pPr>
    </w:p>
    <w:p w:rsidR="00DA0C22" w:rsidRPr="00B17787" w:rsidRDefault="00DA0C22" w:rsidP="00DF3DE3">
      <w:pPr>
        <w:autoSpaceDE w:val="0"/>
        <w:autoSpaceDN w:val="0"/>
        <w:adjustRightInd w:val="0"/>
        <w:spacing w:after="0" w:line="240" w:lineRule="auto"/>
        <w:rPr>
          <w:rFonts w:ascii="Arial" w:hAnsi="Arial" w:cs="Arial"/>
          <w:b/>
          <w:bCs/>
          <w:sz w:val="24"/>
          <w:szCs w:val="24"/>
        </w:rPr>
      </w:pPr>
    </w:p>
    <w:p w:rsidR="00DA0C22" w:rsidRPr="00B17787" w:rsidRDefault="00DA0C22" w:rsidP="00DF3DE3">
      <w:pPr>
        <w:autoSpaceDE w:val="0"/>
        <w:autoSpaceDN w:val="0"/>
        <w:adjustRightInd w:val="0"/>
        <w:spacing w:after="0" w:line="240" w:lineRule="auto"/>
        <w:rPr>
          <w:rFonts w:ascii="Arial" w:hAnsi="Arial" w:cs="Arial"/>
          <w:b/>
          <w:bCs/>
          <w:sz w:val="24"/>
          <w:szCs w:val="24"/>
        </w:rPr>
      </w:pPr>
    </w:p>
    <w:p w:rsidR="00DA0C22" w:rsidRPr="00B17787" w:rsidRDefault="00DA0C22" w:rsidP="00DF3DE3">
      <w:pPr>
        <w:autoSpaceDE w:val="0"/>
        <w:autoSpaceDN w:val="0"/>
        <w:adjustRightInd w:val="0"/>
        <w:spacing w:after="0" w:line="240" w:lineRule="auto"/>
        <w:rPr>
          <w:rFonts w:ascii="Arial" w:hAnsi="Arial" w:cs="Arial"/>
          <w:b/>
          <w:bCs/>
          <w:sz w:val="24"/>
          <w:szCs w:val="24"/>
        </w:rPr>
      </w:pPr>
    </w:p>
    <w:p w:rsidR="00DA0C22" w:rsidRPr="00B17787" w:rsidRDefault="00DA0C22" w:rsidP="00DF3DE3">
      <w:pPr>
        <w:autoSpaceDE w:val="0"/>
        <w:autoSpaceDN w:val="0"/>
        <w:adjustRightInd w:val="0"/>
        <w:spacing w:after="0" w:line="240" w:lineRule="auto"/>
        <w:rPr>
          <w:rFonts w:ascii="Arial" w:hAnsi="Arial" w:cs="Arial"/>
          <w:b/>
          <w:bCs/>
          <w:sz w:val="24"/>
          <w:szCs w:val="24"/>
        </w:rPr>
      </w:pPr>
    </w:p>
    <w:p w:rsidR="00A27FC2" w:rsidRPr="00B17787" w:rsidRDefault="00A27FC2" w:rsidP="00DF3DE3">
      <w:pPr>
        <w:spacing w:line="240" w:lineRule="auto"/>
        <w:rPr>
          <w:rFonts w:ascii="Arial" w:hAnsi="Arial" w:cs="Arial"/>
          <w:sz w:val="24"/>
          <w:szCs w:val="24"/>
        </w:rPr>
      </w:pPr>
    </w:p>
    <w:sectPr w:rsidR="00A27FC2" w:rsidRPr="00B177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A2C" w:rsidRDefault="001C6A2C" w:rsidP="005E0F74">
      <w:pPr>
        <w:spacing w:after="0" w:line="240" w:lineRule="auto"/>
      </w:pPr>
      <w:r>
        <w:separator/>
      </w:r>
    </w:p>
  </w:endnote>
  <w:endnote w:type="continuationSeparator" w:id="0">
    <w:p w:rsidR="001C6A2C" w:rsidRDefault="001C6A2C" w:rsidP="005E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280632"/>
      <w:docPartObj>
        <w:docPartGallery w:val="Page Numbers (Bottom of Page)"/>
        <w:docPartUnique/>
      </w:docPartObj>
    </w:sdtPr>
    <w:sdtEndPr>
      <w:rPr>
        <w:noProof/>
      </w:rPr>
    </w:sdtEndPr>
    <w:sdtContent>
      <w:p w:rsidR="005E0F74" w:rsidRDefault="005E0F74">
        <w:pPr>
          <w:pStyle w:val="Footer"/>
          <w:jc w:val="right"/>
        </w:pPr>
        <w:r>
          <w:fldChar w:fldCharType="begin"/>
        </w:r>
        <w:r>
          <w:instrText xml:space="preserve"> PAGE   \* MERGEFORMAT </w:instrText>
        </w:r>
        <w:r>
          <w:fldChar w:fldCharType="separate"/>
        </w:r>
        <w:r w:rsidR="00CF5695">
          <w:rPr>
            <w:noProof/>
          </w:rPr>
          <w:t>10</w:t>
        </w:r>
        <w:r>
          <w:rPr>
            <w:noProof/>
          </w:rPr>
          <w:fldChar w:fldCharType="end"/>
        </w:r>
      </w:p>
    </w:sdtContent>
  </w:sdt>
  <w:p w:rsidR="005E0F74" w:rsidRDefault="005E0F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A2C" w:rsidRDefault="001C6A2C" w:rsidP="005E0F74">
      <w:pPr>
        <w:spacing w:after="0" w:line="240" w:lineRule="auto"/>
      </w:pPr>
      <w:r>
        <w:separator/>
      </w:r>
    </w:p>
  </w:footnote>
  <w:footnote w:type="continuationSeparator" w:id="0">
    <w:p w:rsidR="001C6A2C" w:rsidRDefault="001C6A2C" w:rsidP="005E0F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8BE"/>
    <w:multiLevelType w:val="hybridMultilevel"/>
    <w:tmpl w:val="3CAC103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8D4064"/>
    <w:multiLevelType w:val="hybridMultilevel"/>
    <w:tmpl w:val="37BA34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007C42"/>
    <w:multiLevelType w:val="hybridMultilevel"/>
    <w:tmpl w:val="42AE6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92B2C"/>
    <w:multiLevelType w:val="multilevel"/>
    <w:tmpl w:val="126C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00029A"/>
    <w:multiLevelType w:val="hybridMultilevel"/>
    <w:tmpl w:val="F5F8C4C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B23E4F"/>
    <w:multiLevelType w:val="hybridMultilevel"/>
    <w:tmpl w:val="EF2AAE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BA2B1C"/>
    <w:multiLevelType w:val="hybridMultilevel"/>
    <w:tmpl w:val="36E0A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C4303"/>
    <w:multiLevelType w:val="hybridMultilevel"/>
    <w:tmpl w:val="EF2AAE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C92685B"/>
    <w:multiLevelType w:val="hybridMultilevel"/>
    <w:tmpl w:val="6414EC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1825246"/>
    <w:multiLevelType w:val="hybridMultilevel"/>
    <w:tmpl w:val="3B860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4E725F"/>
    <w:multiLevelType w:val="hybridMultilevel"/>
    <w:tmpl w:val="130627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8A40977"/>
    <w:multiLevelType w:val="hybridMultilevel"/>
    <w:tmpl w:val="A27C2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3720FA"/>
    <w:multiLevelType w:val="hybridMultilevel"/>
    <w:tmpl w:val="82B4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B4176B"/>
    <w:multiLevelType w:val="hybridMultilevel"/>
    <w:tmpl w:val="2D349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D947B3"/>
    <w:multiLevelType w:val="hybridMultilevel"/>
    <w:tmpl w:val="D974BB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E76653F"/>
    <w:multiLevelType w:val="hybridMultilevel"/>
    <w:tmpl w:val="B86CB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A153B4E"/>
    <w:multiLevelType w:val="hybridMultilevel"/>
    <w:tmpl w:val="B0183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850545"/>
    <w:multiLevelType w:val="hybridMultilevel"/>
    <w:tmpl w:val="A3A20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3"/>
  </w:num>
  <w:num w:numId="4">
    <w:abstractNumId w:val="5"/>
  </w:num>
  <w:num w:numId="5">
    <w:abstractNumId w:val="11"/>
  </w:num>
  <w:num w:numId="6">
    <w:abstractNumId w:val="1"/>
  </w:num>
  <w:num w:numId="7">
    <w:abstractNumId w:val="9"/>
  </w:num>
  <w:num w:numId="8">
    <w:abstractNumId w:val="2"/>
  </w:num>
  <w:num w:numId="9">
    <w:abstractNumId w:val="16"/>
  </w:num>
  <w:num w:numId="10">
    <w:abstractNumId w:val="7"/>
  </w:num>
  <w:num w:numId="11">
    <w:abstractNumId w:val="10"/>
  </w:num>
  <w:num w:numId="12">
    <w:abstractNumId w:val="15"/>
  </w:num>
  <w:num w:numId="13">
    <w:abstractNumId w:val="8"/>
  </w:num>
  <w:num w:numId="14">
    <w:abstractNumId w:val="14"/>
  </w:num>
  <w:num w:numId="15">
    <w:abstractNumId w:val="4"/>
  </w:num>
  <w:num w:numId="16">
    <w:abstractNumId w:val="0"/>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4CB"/>
    <w:rsid w:val="00000BF4"/>
    <w:rsid w:val="000514BF"/>
    <w:rsid w:val="000A7A91"/>
    <w:rsid w:val="000C1EF4"/>
    <w:rsid w:val="000D6B1E"/>
    <w:rsid w:val="0015089F"/>
    <w:rsid w:val="00151A08"/>
    <w:rsid w:val="00183618"/>
    <w:rsid w:val="00193500"/>
    <w:rsid w:val="001C363C"/>
    <w:rsid w:val="001C6A2C"/>
    <w:rsid w:val="001E4EC8"/>
    <w:rsid w:val="00201FB0"/>
    <w:rsid w:val="00212783"/>
    <w:rsid w:val="00263AEF"/>
    <w:rsid w:val="00265A1B"/>
    <w:rsid w:val="002C7A34"/>
    <w:rsid w:val="002D1109"/>
    <w:rsid w:val="002D1A77"/>
    <w:rsid w:val="0030521F"/>
    <w:rsid w:val="003264CE"/>
    <w:rsid w:val="003778C0"/>
    <w:rsid w:val="0040141A"/>
    <w:rsid w:val="00477F98"/>
    <w:rsid w:val="004B2F52"/>
    <w:rsid w:val="004C6F33"/>
    <w:rsid w:val="005A1013"/>
    <w:rsid w:val="005A5076"/>
    <w:rsid w:val="005B7832"/>
    <w:rsid w:val="005E0F74"/>
    <w:rsid w:val="005E784B"/>
    <w:rsid w:val="005F1300"/>
    <w:rsid w:val="006427FA"/>
    <w:rsid w:val="00645EB4"/>
    <w:rsid w:val="006B7DD4"/>
    <w:rsid w:val="006D5116"/>
    <w:rsid w:val="006F4215"/>
    <w:rsid w:val="00700B32"/>
    <w:rsid w:val="00790553"/>
    <w:rsid w:val="007F0546"/>
    <w:rsid w:val="008264CB"/>
    <w:rsid w:val="00832520"/>
    <w:rsid w:val="008615BF"/>
    <w:rsid w:val="00895C8E"/>
    <w:rsid w:val="008A6B99"/>
    <w:rsid w:val="008E61A9"/>
    <w:rsid w:val="009424AE"/>
    <w:rsid w:val="00964863"/>
    <w:rsid w:val="00996BB5"/>
    <w:rsid w:val="009A17DD"/>
    <w:rsid w:val="00A27FC2"/>
    <w:rsid w:val="00A43531"/>
    <w:rsid w:val="00A444D4"/>
    <w:rsid w:val="00A535CD"/>
    <w:rsid w:val="00A81EDA"/>
    <w:rsid w:val="00AD3422"/>
    <w:rsid w:val="00B05176"/>
    <w:rsid w:val="00B17787"/>
    <w:rsid w:val="00B820B7"/>
    <w:rsid w:val="00BD0288"/>
    <w:rsid w:val="00C14DC2"/>
    <w:rsid w:val="00C2604E"/>
    <w:rsid w:val="00C41C56"/>
    <w:rsid w:val="00C43998"/>
    <w:rsid w:val="00C744B0"/>
    <w:rsid w:val="00CF5695"/>
    <w:rsid w:val="00CF746A"/>
    <w:rsid w:val="00D553DB"/>
    <w:rsid w:val="00D942A4"/>
    <w:rsid w:val="00D9608A"/>
    <w:rsid w:val="00DA0C22"/>
    <w:rsid w:val="00DF2E7F"/>
    <w:rsid w:val="00DF3DE3"/>
    <w:rsid w:val="00E53BA5"/>
    <w:rsid w:val="00E604EE"/>
    <w:rsid w:val="00E97840"/>
    <w:rsid w:val="00EC27D7"/>
    <w:rsid w:val="00EE0229"/>
    <w:rsid w:val="00F14319"/>
    <w:rsid w:val="00F35823"/>
    <w:rsid w:val="00F60BCA"/>
    <w:rsid w:val="00F84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0E2A8A-851B-4CB3-8D23-6335207C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08A"/>
    <w:rPr>
      <w:rFonts w:ascii="Tahoma" w:hAnsi="Tahoma" w:cs="Tahoma"/>
      <w:sz w:val="16"/>
      <w:szCs w:val="16"/>
    </w:rPr>
  </w:style>
  <w:style w:type="character" w:styleId="CommentReference">
    <w:name w:val="annotation reference"/>
    <w:basedOn w:val="DefaultParagraphFont"/>
    <w:uiPriority w:val="99"/>
    <w:semiHidden/>
    <w:unhideWhenUsed/>
    <w:rsid w:val="00E604EE"/>
    <w:rPr>
      <w:sz w:val="16"/>
      <w:szCs w:val="16"/>
    </w:rPr>
  </w:style>
  <w:style w:type="paragraph" w:styleId="CommentText">
    <w:name w:val="annotation text"/>
    <w:basedOn w:val="Normal"/>
    <w:link w:val="CommentTextChar"/>
    <w:uiPriority w:val="99"/>
    <w:semiHidden/>
    <w:unhideWhenUsed/>
    <w:rsid w:val="00E604EE"/>
    <w:pPr>
      <w:spacing w:line="240" w:lineRule="auto"/>
    </w:pPr>
    <w:rPr>
      <w:sz w:val="20"/>
      <w:szCs w:val="20"/>
    </w:rPr>
  </w:style>
  <w:style w:type="character" w:customStyle="1" w:styleId="CommentTextChar">
    <w:name w:val="Comment Text Char"/>
    <w:basedOn w:val="DefaultParagraphFont"/>
    <w:link w:val="CommentText"/>
    <w:uiPriority w:val="99"/>
    <w:semiHidden/>
    <w:rsid w:val="00E604EE"/>
    <w:rPr>
      <w:sz w:val="20"/>
      <w:szCs w:val="20"/>
    </w:rPr>
  </w:style>
  <w:style w:type="paragraph" w:styleId="CommentSubject">
    <w:name w:val="annotation subject"/>
    <w:basedOn w:val="CommentText"/>
    <w:next w:val="CommentText"/>
    <w:link w:val="CommentSubjectChar"/>
    <w:uiPriority w:val="99"/>
    <w:semiHidden/>
    <w:unhideWhenUsed/>
    <w:rsid w:val="00E604EE"/>
    <w:rPr>
      <w:b/>
      <w:bCs/>
    </w:rPr>
  </w:style>
  <w:style w:type="character" w:customStyle="1" w:styleId="CommentSubjectChar">
    <w:name w:val="Comment Subject Char"/>
    <w:basedOn w:val="CommentTextChar"/>
    <w:link w:val="CommentSubject"/>
    <w:uiPriority w:val="99"/>
    <w:semiHidden/>
    <w:rsid w:val="00E604EE"/>
    <w:rPr>
      <w:b/>
      <w:bCs/>
      <w:sz w:val="20"/>
      <w:szCs w:val="20"/>
    </w:rPr>
  </w:style>
  <w:style w:type="paragraph" w:styleId="Revision">
    <w:name w:val="Revision"/>
    <w:hidden/>
    <w:uiPriority w:val="99"/>
    <w:semiHidden/>
    <w:rsid w:val="00E604EE"/>
    <w:pPr>
      <w:spacing w:after="0" w:line="240" w:lineRule="auto"/>
    </w:pPr>
  </w:style>
  <w:style w:type="table" w:styleId="TableGrid">
    <w:name w:val="Table Grid"/>
    <w:basedOn w:val="TableNormal"/>
    <w:uiPriority w:val="39"/>
    <w:rsid w:val="00E60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F52"/>
    <w:pPr>
      <w:ind w:left="720"/>
      <w:contextualSpacing/>
    </w:pPr>
  </w:style>
  <w:style w:type="paragraph" w:styleId="Header">
    <w:name w:val="header"/>
    <w:basedOn w:val="Normal"/>
    <w:link w:val="HeaderChar"/>
    <w:uiPriority w:val="99"/>
    <w:unhideWhenUsed/>
    <w:rsid w:val="005E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F74"/>
  </w:style>
  <w:style w:type="paragraph" w:styleId="Footer">
    <w:name w:val="footer"/>
    <w:basedOn w:val="Normal"/>
    <w:link w:val="FooterChar"/>
    <w:uiPriority w:val="99"/>
    <w:unhideWhenUsed/>
    <w:rsid w:val="005E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F74"/>
  </w:style>
  <w:style w:type="table" w:customStyle="1" w:styleId="GridTable4-Accent11">
    <w:name w:val="Grid Table 4 - Accent 11"/>
    <w:basedOn w:val="TableNormal"/>
    <w:uiPriority w:val="49"/>
    <w:rsid w:val="0079055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05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Fatality Rate(5yr Moving Average)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Sheet1!$A$69</c:f>
              <c:strCache>
                <c:ptCount val="1"/>
                <c:pt idx="0">
                  <c:v>State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Sheet1!$B$68:$F$68</c:f>
              <c:strCache>
                <c:ptCount val="5"/>
                <c:pt idx="0">
                  <c:v>2008-2012</c:v>
                </c:pt>
                <c:pt idx="1">
                  <c:v>2009-2013</c:v>
                </c:pt>
                <c:pt idx="2">
                  <c:v>2010-2014</c:v>
                </c:pt>
                <c:pt idx="3">
                  <c:v>2011-2015</c:v>
                </c:pt>
                <c:pt idx="4">
                  <c:v>2012-2016</c:v>
                </c:pt>
              </c:strCache>
            </c:strRef>
          </c:cat>
          <c:val>
            <c:numRef>
              <c:f>Sheet1!$B$69:$F$69</c:f>
              <c:numCache>
                <c:formatCode>General</c:formatCode>
                <c:ptCount val="5"/>
                <c:pt idx="0">
                  <c:v>0.96</c:v>
                </c:pt>
                <c:pt idx="1">
                  <c:v>0.96</c:v>
                </c:pt>
                <c:pt idx="2">
                  <c:v>0.96</c:v>
                </c:pt>
                <c:pt idx="3">
                  <c:v>0.97</c:v>
                </c:pt>
                <c:pt idx="4">
                  <c:v>1</c:v>
                </c:pt>
              </c:numCache>
            </c:numRef>
          </c:val>
          <c:smooth val="0"/>
        </c:ser>
        <c:ser>
          <c:idx val="1"/>
          <c:order val="1"/>
          <c:tx>
            <c:strRef>
              <c:f>Sheet1!$A$70</c:f>
              <c:strCache>
                <c:ptCount val="1"/>
                <c:pt idx="0">
                  <c:v>GVMC</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Sheet1!$B$68:$F$68</c:f>
              <c:strCache>
                <c:ptCount val="5"/>
                <c:pt idx="0">
                  <c:v>2008-2012</c:v>
                </c:pt>
                <c:pt idx="1">
                  <c:v>2009-2013</c:v>
                </c:pt>
                <c:pt idx="2">
                  <c:v>2010-2014</c:v>
                </c:pt>
                <c:pt idx="3">
                  <c:v>2011-2015</c:v>
                </c:pt>
                <c:pt idx="4">
                  <c:v>2012-2016</c:v>
                </c:pt>
              </c:strCache>
            </c:strRef>
          </c:cat>
          <c:val>
            <c:numRef>
              <c:f>Sheet1!$B$70:$F$70</c:f>
              <c:numCache>
                <c:formatCode>General</c:formatCode>
                <c:ptCount val="5"/>
                <c:pt idx="0">
                  <c:v>0.79</c:v>
                </c:pt>
                <c:pt idx="1">
                  <c:v>0.76</c:v>
                </c:pt>
                <c:pt idx="2">
                  <c:v>0.75</c:v>
                </c:pt>
                <c:pt idx="3">
                  <c:v>0.75</c:v>
                </c:pt>
                <c:pt idx="4">
                  <c:v>0.8</c:v>
                </c:pt>
              </c:numCache>
            </c:numRef>
          </c:val>
          <c:smooth val="0"/>
        </c:ser>
        <c:dLbls>
          <c:showLegendKey val="0"/>
          <c:showVal val="0"/>
          <c:showCatName val="0"/>
          <c:showSerName val="0"/>
          <c:showPercent val="0"/>
          <c:showBubbleSize val="0"/>
        </c:dLbls>
        <c:marker val="1"/>
        <c:smooth val="0"/>
        <c:axId val="1435355152"/>
        <c:axId val="1435349552"/>
      </c:lineChart>
      <c:catAx>
        <c:axId val="1435355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5349552"/>
        <c:crosses val="autoZero"/>
        <c:auto val="1"/>
        <c:lblAlgn val="ctr"/>
        <c:lblOffset val="100"/>
        <c:noMultiLvlLbl val="0"/>
      </c:catAx>
      <c:valAx>
        <c:axId val="1435349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5355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Serious Injury Rate(5yr Moving Average)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Sheet1!$U$69</c:f>
              <c:strCache>
                <c:ptCount val="1"/>
                <c:pt idx="0">
                  <c:v>State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Sheet1!$V$68:$Z$68</c:f>
              <c:strCache>
                <c:ptCount val="5"/>
                <c:pt idx="0">
                  <c:v>2008-2012</c:v>
                </c:pt>
                <c:pt idx="1">
                  <c:v>2009-2013</c:v>
                </c:pt>
                <c:pt idx="2">
                  <c:v>2010-2014</c:v>
                </c:pt>
                <c:pt idx="3">
                  <c:v>2011-2015</c:v>
                </c:pt>
                <c:pt idx="4">
                  <c:v>2012-2016</c:v>
                </c:pt>
              </c:strCache>
            </c:strRef>
          </c:cat>
          <c:val>
            <c:numRef>
              <c:f>Sheet1!$V$69:$Z$69</c:f>
              <c:numCache>
                <c:formatCode>General</c:formatCode>
                <c:ptCount val="5"/>
                <c:pt idx="0">
                  <c:v>6.33</c:v>
                </c:pt>
                <c:pt idx="1">
                  <c:v>6.1</c:v>
                </c:pt>
                <c:pt idx="2">
                  <c:v>5.75</c:v>
                </c:pt>
                <c:pt idx="3">
                  <c:v>5.52</c:v>
                </c:pt>
                <c:pt idx="4">
                  <c:v>5.47</c:v>
                </c:pt>
              </c:numCache>
            </c:numRef>
          </c:val>
          <c:smooth val="0"/>
        </c:ser>
        <c:ser>
          <c:idx val="1"/>
          <c:order val="1"/>
          <c:tx>
            <c:strRef>
              <c:f>Sheet1!$U$70</c:f>
              <c:strCache>
                <c:ptCount val="1"/>
                <c:pt idx="0">
                  <c:v>GVMC</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Sheet1!$V$68:$Z$68</c:f>
              <c:strCache>
                <c:ptCount val="5"/>
                <c:pt idx="0">
                  <c:v>2008-2012</c:v>
                </c:pt>
                <c:pt idx="1">
                  <c:v>2009-2013</c:v>
                </c:pt>
                <c:pt idx="2">
                  <c:v>2010-2014</c:v>
                </c:pt>
                <c:pt idx="3">
                  <c:v>2011-2015</c:v>
                </c:pt>
                <c:pt idx="4">
                  <c:v>2012-2016</c:v>
                </c:pt>
              </c:strCache>
            </c:strRef>
          </c:cat>
          <c:val>
            <c:numRef>
              <c:f>Sheet1!$V$70:$Z$70</c:f>
              <c:numCache>
                <c:formatCode>General</c:formatCode>
                <c:ptCount val="5"/>
                <c:pt idx="0">
                  <c:v>4.95</c:v>
                </c:pt>
                <c:pt idx="1">
                  <c:v>4.74</c:v>
                </c:pt>
                <c:pt idx="2">
                  <c:v>4.57</c:v>
                </c:pt>
                <c:pt idx="3">
                  <c:v>4.67</c:v>
                </c:pt>
                <c:pt idx="4">
                  <c:v>4.99</c:v>
                </c:pt>
              </c:numCache>
            </c:numRef>
          </c:val>
          <c:smooth val="0"/>
        </c:ser>
        <c:dLbls>
          <c:showLegendKey val="0"/>
          <c:showVal val="0"/>
          <c:showCatName val="0"/>
          <c:showSerName val="0"/>
          <c:showPercent val="0"/>
          <c:showBubbleSize val="0"/>
        </c:dLbls>
        <c:marker val="1"/>
        <c:smooth val="0"/>
        <c:axId val="1435345632"/>
        <c:axId val="1435360752"/>
      </c:lineChart>
      <c:catAx>
        <c:axId val="1435345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5360752"/>
        <c:crosses val="autoZero"/>
        <c:auto val="1"/>
        <c:lblAlgn val="ctr"/>
        <c:lblOffset val="100"/>
        <c:noMultiLvlLbl val="0"/>
      </c:catAx>
      <c:valAx>
        <c:axId val="1435360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5345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94780-7D60-437B-A2DA-84956B356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3547</Words>
  <Characters>20220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Faber</dc:creator>
  <cp:lastModifiedBy>George Yang</cp:lastModifiedBy>
  <cp:revision>2</cp:revision>
  <cp:lastPrinted>2018-04-25T18:43:00Z</cp:lastPrinted>
  <dcterms:created xsi:type="dcterms:W3CDTF">2018-04-26T13:10:00Z</dcterms:created>
  <dcterms:modified xsi:type="dcterms:W3CDTF">2018-04-26T13:10:00Z</dcterms:modified>
</cp:coreProperties>
</file>